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0BB5D2" w14:textId="6BE558B7" w:rsidR="00D669A7" w:rsidRPr="00D669A7" w:rsidRDefault="00D669A7" w:rsidP="00D669A7">
      <w:pPr>
        <w:pStyle w:val="NormaleWeb"/>
        <w:spacing w:after="0" w:line="360" w:lineRule="auto"/>
        <w:jc w:val="center"/>
        <w:rPr>
          <w:rFonts w:ascii="Arial" w:eastAsia="Times New Roman" w:hAnsi="Arial" w:cs="Arial"/>
          <w:b/>
          <w:bCs/>
          <w:kern w:val="0"/>
          <w:sz w:val="22"/>
          <w:szCs w:val="22"/>
          <w:lang w:eastAsia="it-IT"/>
          <w14:ligatures w14:val="none"/>
        </w:rPr>
      </w:pPr>
      <w:r w:rsidRPr="00D669A7">
        <w:rPr>
          <w:rFonts w:ascii="Arial" w:eastAsia="Times New Roman" w:hAnsi="Arial" w:cs="Arial"/>
          <w:b/>
          <w:bCs/>
          <w:kern w:val="0"/>
          <w:sz w:val="22"/>
          <w:szCs w:val="22"/>
          <w:lang w:eastAsia="it-IT"/>
          <w14:ligatures w14:val="none"/>
        </w:rPr>
        <w:t>LA REVISIONE PREZZI NEGLI APPALTI PUBBLICI E LE FONTI DI FINANZIAMENTO: CAPIENZA DELLE FONTI COME LIMITE AL DIRITTO SOGGETTIVO DEL PRIVATO.</w:t>
      </w:r>
    </w:p>
    <w:p w14:paraId="1A4C549F" w14:textId="77777777" w:rsidR="00D669A7" w:rsidRPr="00D669A7" w:rsidRDefault="00D669A7" w:rsidP="00D669A7">
      <w:pPr>
        <w:pStyle w:val="NormaleWeb"/>
        <w:spacing w:after="0" w:line="360" w:lineRule="auto"/>
        <w:jc w:val="center"/>
        <w:rPr>
          <w:rFonts w:ascii="Arial" w:eastAsia="Times New Roman" w:hAnsi="Arial" w:cs="Arial"/>
          <w:b/>
          <w:bCs/>
          <w:kern w:val="0"/>
          <w:sz w:val="22"/>
          <w:szCs w:val="22"/>
          <w:lang w:eastAsia="it-IT"/>
          <w14:ligatures w14:val="none"/>
        </w:rPr>
      </w:pPr>
    </w:p>
    <w:p w14:paraId="4D55D5AA" w14:textId="70C841F5" w:rsidR="009E3C4F" w:rsidRPr="009E3C4F" w:rsidRDefault="00E13A3E" w:rsidP="008303F6">
      <w:pPr>
        <w:pStyle w:val="NormaleWeb"/>
        <w:spacing w:after="0" w:line="360" w:lineRule="auto"/>
        <w:jc w:val="both"/>
        <w:rPr>
          <w:rFonts w:ascii="Arial" w:eastAsia="Times New Roman" w:hAnsi="Arial" w:cs="Arial"/>
          <w:kern w:val="0"/>
          <w:sz w:val="22"/>
          <w:szCs w:val="22"/>
          <w:lang w:eastAsia="it-IT"/>
          <w14:ligatures w14:val="none"/>
        </w:rPr>
      </w:pPr>
      <w:r w:rsidRPr="008303F6">
        <w:rPr>
          <w:rFonts w:ascii="Arial" w:eastAsia="Times New Roman" w:hAnsi="Arial" w:cs="Arial"/>
          <w:kern w:val="0"/>
          <w:sz w:val="22"/>
          <w:szCs w:val="22"/>
          <w:lang w:eastAsia="it-IT"/>
          <w14:ligatures w14:val="none"/>
        </w:rPr>
        <w:t>S</w:t>
      </w:r>
      <w:r w:rsidR="009E3C4F" w:rsidRPr="008303F6">
        <w:rPr>
          <w:rFonts w:ascii="Arial" w:eastAsia="Times New Roman" w:hAnsi="Arial" w:cs="Arial"/>
          <w:kern w:val="0"/>
          <w:sz w:val="22"/>
          <w:szCs w:val="22"/>
          <w:lang w:eastAsia="it-IT"/>
          <w14:ligatures w14:val="none"/>
        </w:rPr>
        <w:t>ebbene l'</w:t>
      </w:r>
      <w:r w:rsidR="00933233">
        <w:rPr>
          <w:rFonts w:ascii="Arial" w:eastAsia="Times New Roman" w:hAnsi="Arial" w:cs="Arial"/>
          <w:kern w:val="0"/>
          <w:sz w:val="22"/>
          <w:szCs w:val="22"/>
          <w:lang w:eastAsia="it-IT"/>
          <w14:ligatures w14:val="none"/>
        </w:rPr>
        <w:t>art</w:t>
      </w:r>
      <w:r w:rsidR="009E3C4F" w:rsidRPr="008303F6">
        <w:rPr>
          <w:rFonts w:ascii="Arial" w:eastAsia="Times New Roman" w:hAnsi="Arial" w:cs="Arial"/>
          <w:kern w:val="0"/>
          <w:sz w:val="22"/>
          <w:szCs w:val="22"/>
          <w:lang w:eastAsia="it-IT"/>
          <w14:ligatures w14:val="none"/>
        </w:rPr>
        <w:t xml:space="preserve">. 60 imponga l'obbligo di inserire clausole di revisione prezzi e riconosca un diritto dell'appaltatore al verificarsi di determinate condizioni, tale diritto non è illimitato o incondizionato, ma </w:t>
      </w:r>
      <w:r w:rsidR="009E3C4F" w:rsidRPr="00D669A7">
        <w:rPr>
          <w:rFonts w:ascii="Arial" w:eastAsia="Times New Roman" w:hAnsi="Arial" w:cs="Arial"/>
          <w:kern w:val="0"/>
          <w:sz w:val="22"/>
          <w:szCs w:val="22"/>
          <w:lang w:eastAsia="it-IT"/>
          <w14:ligatures w14:val="none"/>
        </w:rPr>
        <w:t>trova un vincolo oggettivo e invalicabile nella disponibilità delle specifiche fonti di finanziamento previste dalla stessa norma.</w:t>
      </w:r>
    </w:p>
    <w:p w14:paraId="70F2B591" w14:textId="3CDD5C99" w:rsidR="009E3C4F" w:rsidRPr="009E3C4F" w:rsidRDefault="009E3C4F" w:rsidP="008303F6">
      <w:pPr>
        <w:spacing w:after="0" w:line="360" w:lineRule="auto"/>
        <w:jc w:val="both"/>
        <w:rPr>
          <w:rFonts w:ascii="Arial" w:eastAsia="Times New Roman" w:hAnsi="Arial" w:cs="Arial"/>
          <w:kern w:val="0"/>
          <w:lang w:eastAsia="it-IT"/>
          <w14:ligatures w14:val="none"/>
        </w:rPr>
      </w:pPr>
      <w:r w:rsidRPr="009E3C4F">
        <w:rPr>
          <w:rFonts w:ascii="Arial" w:eastAsia="Times New Roman" w:hAnsi="Arial" w:cs="Arial"/>
          <w:kern w:val="0"/>
          <w:lang w:eastAsia="it-IT"/>
          <w14:ligatures w14:val="none"/>
        </w:rPr>
        <w:t>L'</w:t>
      </w:r>
      <w:r w:rsidR="00933233">
        <w:rPr>
          <w:rFonts w:ascii="Arial" w:eastAsia="Times New Roman" w:hAnsi="Arial" w:cs="Arial"/>
          <w:kern w:val="0"/>
          <w:lang w:eastAsia="it-IT"/>
          <w14:ligatures w14:val="none"/>
        </w:rPr>
        <w:t>art</w:t>
      </w:r>
      <w:r w:rsidRPr="009E3C4F">
        <w:rPr>
          <w:rFonts w:ascii="Arial" w:eastAsia="Times New Roman" w:hAnsi="Arial" w:cs="Arial"/>
          <w:kern w:val="0"/>
          <w:lang w:eastAsia="it-IT"/>
          <w14:ligatures w14:val="none"/>
        </w:rPr>
        <w:t>. 60</w:t>
      </w:r>
      <w:r w:rsidR="00E13A3E" w:rsidRPr="00D669A7">
        <w:rPr>
          <w:rFonts w:ascii="Arial" w:eastAsia="Times New Roman" w:hAnsi="Arial" w:cs="Arial"/>
          <w:kern w:val="0"/>
          <w:lang w:eastAsia="it-IT"/>
          <w14:ligatures w14:val="none"/>
        </w:rPr>
        <w:t xml:space="preserve"> del</w:t>
      </w:r>
      <w:r w:rsidRPr="009E3C4F">
        <w:rPr>
          <w:rFonts w:ascii="Arial" w:eastAsia="Times New Roman" w:hAnsi="Arial" w:cs="Arial"/>
          <w:kern w:val="0"/>
          <w:lang w:eastAsia="it-IT"/>
          <w14:ligatures w14:val="none"/>
        </w:rPr>
        <w:t xml:space="preserve"> </w:t>
      </w:r>
      <w:proofErr w:type="spellStart"/>
      <w:r w:rsidRPr="009E3C4F">
        <w:rPr>
          <w:rFonts w:ascii="Arial" w:eastAsia="Times New Roman" w:hAnsi="Arial" w:cs="Arial"/>
          <w:kern w:val="0"/>
          <w:lang w:eastAsia="it-IT"/>
          <w14:ligatures w14:val="none"/>
        </w:rPr>
        <w:t>D.Lgs.</w:t>
      </w:r>
      <w:proofErr w:type="spellEnd"/>
      <w:r w:rsidRPr="009E3C4F">
        <w:rPr>
          <w:rFonts w:ascii="Arial" w:eastAsia="Times New Roman" w:hAnsi="Arial" w:cs="Arial"/>
          <w:kern w:val="0"/>
          <w:lang w:eastAsia="it-IT"/>
          <w14:ligatures w14:val="none"/>
        </w:rPr>
        <w:t xml:space="preserve"> 36/2023 stabilisce che la revisione prezzi è obbligatoria nei documenti di gara iniziali. Ciò significa che l'appaltatore ha effettivamente un diritto potestativo a che la revisione sia applicata una volta che si verifichino le condizioni oggettive (variazione superiore al 3% del costo complessivo e operante per l'80% del valore eccedente il 5%).</w:t>
      </w:r>
    </w:p>
    <w:p w14:paraId="2A2C8193" w14:textId="59C43B7F" w:rsidR="009E3C4F" w:rsidRPr="00D669A7" w:rsidRDefault="009E3C4F" w:rsidP="008303F6">
      <w:pPr>
        <w:spacing w:after="0" w:line="360" w:lineRule="auto"/>
        <w:jc w:val="both"/>
        <w:rPr>
          <w:rFonts w:ascii="Arial" w:eastAsia="Times New Roman" w:hAnsi="Arial" w:cs="Arial"/>
          <w:kern w:val="0"/>
          <w:lang w:eastAsia="it-IT"/>
          <w14:ligatures w14:val="none"/>
        </w:rPr>
      </w:pPr>
      <w:r w:rsidRPr="009E3C4F">
        <w:rPr>
          <w:rFonts w:ascii="Arial" w:eastAsia="Times New Roman" w:hAnsi="Arial" w:cs="Arial"/>
          <w:kern w:val="0"/>
          <w:lang w:eastAsia="it-IT"/>
          <w14:ligatures w14:val="none"/>
        </w:rPr>
        <w:t>Tuttavia, la norma prosegue indicando espressamente le fonti di finanziamento che le stazioni appaltanti devono utilizzare per far fronte ai maggiori oneri derivanti da tale revisione.</w:t>
      </w:r>
    </w:p>
    <w:p w14:paraId="59003D18" w14:textId="587CCEA7" w:rsidR="009E3C4F" w:rsidRPr="009E3C4F" w:rsidRDefault="00E13A3E" w:rsidP="008303F6">
      <w:pPr>
        <w:spacing w:after="0" w:line="360" w:lineRule="auto"/>
        <w:jc w:val="both"/>
        <w:rPr>
          <w:rFonts w:ascii="Arial" w:eastAsia="Times New Roman" w:hAnsi="Arial" w:cs="Arial"/>
          <w:kern w:val="0"/>
          <w:lang w:eastAsia="it-IT"/>
          <w14:ligatures w14:val="none"/>
        </w:rPr>
      </w:pPr>
      <w:r w:rsidRPr="00D669A7">
        <w:rPr>
          <w:rFonts w:ascii="Arial" w:eastAsia="Times New Roman" w:hAnsi="Arial" w:cs="Arial"/>
          <w:kern w:val="0"/>
          <w:lang w:eastAsia="it-IT"/>
          <w14:ligatures w14:val="none"/>
        </w:rPr>
        <w:t>La circostanza che il legislatore abbia voluto per altro indicare l</w:t>
      </w:r>
      <w:r w:rsidR="00DD2E34">
        <w:rPr>
          <w:rFonts w:ascii="Arial" w:eastAsia="Times New Roman" w:hAnsi="Arial" w:cs="Arial"/>
          <w:kern w:val="0"/>
          <w:lang w:eastAsia="it-IT"/>
          <w14:ligatures w14:val="none"/>
        </w:rPr>
        <w:t>e</w:t>
      </w:r>
      <w:r w:rsidRPr="00D669A7">
        <w:rPr>
          <w:rFonts w:ascii="Arial" w:eastAsia="Times New Roman" w:hAnsi="Arial" w:cs="Arial"/>
          <w:kern w:val="0"/>
          <w:lang w:eastAsia="it-IT"/>
          <w14:ligatures w14:val="none"/>
        </w:rPr>
        <w:t xml:space="preserve"> fonti di finanziamento deve trovare un senso logico e razionale che rileva razionalmente solo nel v</w:t>
      </w:r>
      <w:r w:rsidR="009E3C4F" w:rsidRPr="009E3C4F">
        <w:rPr>
          <w:rFonts w:ascii="Arial" w:eastAsia="Times New Roman" w:hAnsi="Arial" w:cs="Arial"/>
          <w:kern w:val="0"/>
          <w:lang w:eastAsia="it-IT"/>
          <w14:ligatures w14:val="none"/>
        </w:rPr>
        <w:t>incolo delle Fonti di Finanziamento</w:t>
      </w:r>
      <w:r w:rsidRPr="00D669A7">
        <w:rPr>
          <w:rFonts w:ascii="Arial" w:eastAsia="Times New Roman" w:hAnsi="Arial" w:cs="Arial"/>
          <w:kern w:val="0"/>
          <w:lang w:eastAsia="it-IT"/>
          <w14:ligatures w14:val="none"/>
        </w:rPr>
        <w:t>.</w:t>
      </w:r>
    </w:p>
    <w:p w14:paraId="7934A84B" w14:textId="7ECE6CBD" w:rsidR="009E3C4F" w:rsidRPr="009E3C4F" w:rsidRDefault="009E3C4F" w:rsidP="008303F6">
      <w:pPr>
        <w:spacing w:after="0" w:line="360" w:lineRule="auto"/>
        <w:jc w:val="both"/>
        <w:rPr>
          <w:rFonts w:ascii="Arial" w:eastAsia="Times New Roman" w:hAnsi="Arial" w:cs="Arial"/>
          <w:kern w:val="0"/>
          <w:lang w:eastAsia="it-IT"/>
          <w14:ligatures w14:val="none"/>
        </w:rPr>
      </w:pPr>
      <w:r w:rsidRPr="009E3C4F">
        <w:rPr>
          <w:rFonts w:ascii="Arial" w:eastAsia="Times New Roman" w:hAnsi="Arial" w:cs="Arial"/>
          <w:kern w:val="0"/>
          <w:lang w:eastAsia="it-IT"/>
          <w14:ligatures w14:val="none"/>
        </w:rPr>
        <w:t xml:space="preserve">Le fonti elencate (Accantonamento per imprevisti nel quadro economico, Ribassi d'asta non diversamente destinati, Somme disponibili da interventi ultimati) non sono </w:t>
      </w:r>
      <w:r w:rsidR="00E13A3E" w:rsidRPr="00D669A7">
        <w:rPr>
          <w:rFonts w:ascii="Arial" w:eastAsia="Times New Roman" w:hAnsi="Arial" w:cs="Arial"/>
          <w:kern w:val="0"/>
          <w:lang w:eastAsia="it-IT"/>
          <w14:ligatures w14:val="none"/>
        </w:rPr>
        <w:t xml:space="preserve">invero </w:t>
      </w:r>
      <w:r w:rsidRPr="009E3C4F">
        <w:rPr>
          <w:rFonts w:ascii="Arial" w:eastAsia="Times New Roman" w:hAnsi="Arial" w:cs="Arial"/>
          <w:kern w:val="0"/>
          <w:lang w:eastAsia="it-IT"/>
          <w14:ligatures w14:val="none"/>
        </w:rPr>
        <w:t>esempi</w:t>
      </w:r>
      <w:r w:rsidR="00E13A3E" w:rsidRPr="00D669A7">
        <w:rPr>
          <w:rFonts w:ascii="Arial" w:eastAsia="Times New Roman" w:hAnsi="Arial" w:cs="Arial"/>
          <w:kern w:val="0"/>
          <w:lang w:eastAsia="it-IT"/>
          <w14:ligatures w14:val="none"/>
        </w:rPr>
        <w:t xml:space="preserve"> a cui il legislatore si è ispirato</w:t>
      </w:r>
      <w:r w:rsidRPr="009E3C4F">
        <w:rPr>
          <w:rFonts w:ascii="Arial" w:eastAsia="Times New Roman" w:hAnsi="Arial" w:cs="Arial"/>
          <w:kern w:val="0"/>
          <w:lang w:eastAsia="it-IT"/>
          <w14:ligatures w14:val="none"/>
        </w:rPr>
        <w:t>, ma rappresentano</w:t>
      </w:r>
      <w:r w:rsidR="00E13A3E" w:rsidRPr="00D669A7">
        <w:rPr>
          <w:rFonts w:ascii="Arial" w:eastAsia="Times New Roman" w:hAnsi="Arial" w:cs="Arial"/>
          <w:kern w:val="0"/>
          <w:lang w:eastAsia="it-IT"/>
          <w14:ligatures w14:val="none"/>
        </w:rPr>
        <w:t>,</w:t>
      </w:r>
      <w:r w:rsidRPr="009E3C4F">
        <w:rPr>
          <w:rFonts w:ascii="Arial" w:eastAsia="Times New Roman" w:hAnsi="Arial" w:cs="Arial"/>
          <w:kern w:val="0"/>
          <w:lang w:eastAsia="it-IT"/>
          <w14:ligatures w14:val="none"/>
        </w:rPr>
        <w:t xml:space="preserve"> </w:t>
      </w:r>
      <w:r w:rsidR="00E13A3E" w:rsidRPr="00D669A7">
        <w:rPr>
          <w:rFonts w:ascii="Arial" w:eastAsia="Times New Roman" w:hAnsi="Arial" w:cs="Arial"/>
          <w:kern w:val="0"/>
          <w:lang w:eastAsia="it-IT"/>
          <w14:ligatures w14:val="none"/>
        </w:rPr>
        <w:t xml:space="preserve">per come la norma è scritta, </w:t>
      </w:r>
      <w:r w:rsidRPr="009E3C4F">
        <w:rPr>
          <w:rFonts w:ascii="Arial" w:eastAsia="Times New Roman" w:hAnsi="Arial" w:cs="Arial"/>
          <w:kern w:val="0"/>
          <w:lang w:eastAsia="it-IT"/>
          <w14:ligatures w14:val="none"/>
        </w:rPr>
        <w:t>le uniche e tassative fonti di copertura previste dalla legge per le revisioni prezzi.</w:t>
      </w:r>
    </w:p>
    <w:p w14:paraId="742938A2" w14:textId="1D4F70A4" w:rsidR="009E3C4F" w:rsidRPr="009E3C4F" w:rsidRDefault="009E3C4F" w:rsidP="008303F6">
      <w:pPr>
        <w:spacing w:after="0" w:line="360" w:lineRule="auto"/>
        <w:jc w:val="both"/>
        <w:rPr>
          <w:rFonts w:ascii="Arial" w:eastAsia="Times New Roman" w:hAnsi="Arial" w:cs="Arial"/>
          <w:kern w:val="0"/>
          <w:lang w:eastAsia="it-IT"/>
          <w14:ligatures w14:val="none"/>
        </w:rPr>
      </w:pPr>
      <w:r w:rsidRPr="009E3C4F">
        <w:rPr>
          <w:rFonts w:ascii="Arial" w:eastAsia="Times New Roman" w:hAnsi="Arial" w:cs="Arial"/>
          <w:kern w:val="0"/>
          <w:lang w:eastAsia="it-IT"/>
          <w14:ligatures w14:val="none"/>
        </w:rPr>
        <w:t xml:space="preserve">Questa indicazione specifica delle fonti di finanziamento ha un significato giuridico </w:t>
      </w:r>
      <w:r w:rsidR="00E13A3E" w:rsidRPr="008303F6">
        <w:rPr>
          <w:rFonts w:ascii="Arial" w:eastAsia="Times New Roman" w:hAnsi="Arial" w:cs="Arial"/>
          <w:kern w:val="0"/>
          <w:lang w:eastAsia="it-IT"/>
          <w14:ligatures w14:val="none"/>
        </w:rPr>
        <w:t xml:space="preserve">e contabile ben </w:t>
      </w:r>
      <w:r w:rsidRPr="009E3C4F">
        <w:rPr>
          <w:rFonts w:ascii="Arial" w:eastAsia="Times New Roman" w:hAnsi="Arial" w:cs="Arial"/>
          <w:kern w:val="0"/>
          <w:lang w:eastAsia="it-IT"/>
          <w14:ligatures w14:val="none"/>
        </w:rPr>
        <w:t>preciso</w:t>
      </w:r>
      <w:r w:rsidR="00E13A3E" w:rsidRPr="008303F6">
        <w:rPr>
          <w:rFonts w:ascii="Arial" w:eastAsia="Times New Roman" w:hAnsi="Arial" w:cs="Arial"/>
          <w:kern w:val="0"/>
          <w:lang w:eastAsia="it-IT"/>
          <w14:ligatures w14:val="none"/>
        </w:rPr>
        <w:t xml:space="preserve"> che possiamo sintetizzare in alcuni punti centrali e precisamente</w:t>
      </w:r>
      <w:r w:rsidRPr="009E3C4F">
        <w:rPr>
          <w:rFonts w:ascii="Arial" w:eastAsia="Times New Roman" w:hAnsi="Arial" w:cs="Arial"/>
          <w:kern w:val="0"/>
          <w:lang w:eastAsia="it-IT"/>
          <w14:ligatures w14:val="none"/>
        </w:rPr>
        <w:t>:</w:t>
      </w:r>
    </w:p>
    <w:p w14:paraId="6C6E9490" w14:textId="77777777" w:rsidR="009E3C4F" w:rsidRPr="009E3C4F" w:rsidRDefault="009E3C4F" w:rsidP="008303F6">
      <w:pPr>
        <w:numPr>
          <w:ilvl w:val="0"/>
          <w:numId w:val="3"/>
        </w:numPr>
        <w:spacing w:after="0" w:line="360" w:lineRule="auto"/>
        <w:jc w:val="both"/>
        <w:rPr>
          <w:rFonts w:ascii="Arial" w:eastAsia="Times New Roman" w:hAnsi="Arial" w:cs="Arial"/>
          <w:kern w:val="0"/>
          <w:lang w:eastAsia="it-IT"/>
          <w14:ligatures w14:val="none"/>
        </w:rPr>
      </w:pPr>
      <w:r w:rsidRPr="009E3C4F">
        <w:rPr>
          <w:rFonts w:ascii="Arial" w:eastAsia="Times New Roman" w:hAnsi="Arial" w:cs="Arial"/>
          <w:b/>
          <w:bCs/>
          <w:kern w:val="0"/>
          <w:lang w:eastAsia="it-IT"/>
          <w14:ligatures w14:val="none"/>
        </w:rPr>
        <w:t>Principio di legalità della spesa pubblica:</w:t>
      </w:r>
      <w:r w:rsidRPr="009E3C4F">
        <w:rPr>
          <w:rFonts w:ascii="Arial" w:eastAsia="Times New Roman" w:hAnsi="Arial" w:cs="Arial"/>
          <w:kern w:val="0"/>
          <w:lang w:eastAsia="it-IT"/>
          <w14:ligatures w14:val="none"/>
        </w:rPr>
        <w:t xml:space="preserve"> Gli enti pubblici possono spendere solo nei limiti e con le modalità stabilite dalla legge. Se la legge definisce le fonti per un determinato onere, l'ente non può ricorrere ad altre fonti non previste o generare spese non coperte.</w:t>
      </w:r>
    </w:p>
    <w:p w14:paraId="69463FF0" w14:textId="25C1301F" w:rsidR="009E3C4F" w:rsidRPr="009E3C4F" w:rsidRDefault="009E3C4F" w:rsidP="008303F6">
      <w:pPr>
        <w:numPr>
          <w:ilvl w:val="0"/>
          <w:numId w:val="3"/>
        </w:numPr>
        <w:spacing w:after="0" w:line="360" w:lineRule="auto"/>
        <w:jc w:val="both"/>
        <w:rPr>
          <w:rFonts w:ascii="Arial" w:eastAsia="Times New Roman" w:hAnsi="Arial" w:cs="Arial"/>
          <w:kern w:val="0"/>
          <w:lang w:eastAsia="it-IT"/>
          <w14:ligatures w14:val="none"/>
        </w:rPr>
      </w:pPr>
      <w:r w:rsidRPr="009E3C4F">
        <w:rPr>
          <w:rFonts w:ascii="Arial" w:eastAsia="Times New Roman" w:hAnsi="Arial" w:cs="Arial"/>
          <w:b/>
          <w:bCs/>
          <w:kern w:val="0"/>
          <w:lang w:eastAsia="it-IT"/>
          <w14:ligatures w14:val="none"/>
        </w:rPr>
        <w:t>Salvaguardia degli equilibri di bilancio:</w:t>
      </w:r>
      <w:r w:rsidRPr="009E3C4F">
        <w:rPr>
          <w:rFonts w:ascii="Arial" w:eastAsia="Times New Roman" w:hAnsi="Arial" w:cs="Arial"/>
          <w:kern w:val="0"/>
          <w:lang w:eastAsia="it-IT"/>
          <w14:ligatures w14:val="none"/>
        </w:rPr>
        <w:t xml:space="preserve"> L'ente pubblico opera in un contesto di bilancio vincolato. Riconoscere un diritto alla revisione prezzi senza limitarlo alle risorse effettivamente disponibili e individuate dalla legge porterebbe a un potenziale squilibrio finanziario inaccettabile per l'Amministrazione</w:t>
      </w:r>
      <w:r w:rsidR="00E13A3E" w:rsidRPr="008303F6">
        <w:rPr>
          <w:rFonts w:ascii="Arial" w:eastAsia="Times New Roman" w:hAnsi="Arial" w:cs="Arial"/>
          <w:kern w:val="0"/>
          <w:lang w:eastAsia="it-IT"/>
          <w14:ligatures w14:val="none"/>
        </w:rPr>
        <w:t xml:space="preserve"> specie se dovesse accade per più contratti in un arco temporale ravvicinato</w:t>
      </w:r>
      <w:r w:rsidRPr="009E3C4F">
        <w:rPr>
          <w:rFonts w:ascii="Arial" w:eastAsia="Times New Roman" w:hAnsi="Arial" w:cs="Arial"/>
          <w:kern w:val="0"/>
          <w:lang w:eastAsia="it-IT"/>
          <w14:ligatures w14:val="none"/>
        </w:rPr>
        <w:t>.</w:t>
      </w:r>
    </w:p>
    <w:p w14:paraId="470FBC1E" w14:textId="3DE3B282" w:rsidR="009E3C4F" w:rsidRPr="009E3C4F" w:rsidRDefault="009E3C4F" w:rsidP="008303F6">
      <w:pPr>
        <w:numPr>
          <w:ilvl w:val="0"/>
          <w:numId w:val="3"/>
        </w:numPr>
        <w:spacing w:after="0" w:line="360" w:lineRule="auto"/>
        <w:jc w:val="both"/>
        <w:rPr>
          <w:rFonts w:ascii="Arial" w:eastAsia="Times New Roman" w:hAnsi="Arial" w:cs="Arial"/>
          <w:kern w:val="0"/>
          <w:lang w:eastAsia="it-IT"/>
          <w14:ligatures w14:val="none"/>
        </w:rPr>
      </w:pPr>
      <w:r w:rsidRPr="009E3C4F">
        <w:rPr>
          <w:rFonts w:ascii="Arial" w:eastAsia="Times New Roman" w:hAnsi="Arial" w:cs="Arial"/>
          <w:b/>
          <w:bCs/>
          <w:kern w:val="0"/>
          <w:lang w:eastAsia="it-IT"/>
          <w14:ligatures w14:val="none"/>
        </w:rPr>
        <w:t>Deroga al principio di invariabilità del corrispettivo:</w:t>
      </w:r>
      <w:r w:rsidRPr="009E3C4F">
        <w:rPr>
          <w:rFonts w:ascii="Arial" w:eastAsia="Times New Roman" w:hAnsi="Arial" w:cs="Arial"/>
          <w:kern w:val="0"/>
          <w:lang w:eastAsia="it-IT"/>
          <w14:ligatures w14:val="none"/>
        </w:rPr>
        <w:t xml:space="preserve"> La revisione prezzi è, di fatto, una deroga al principio generale di invariabilità del corrispettivo contrattuale. In quanto deroga, deve essere interpretata in maniera restrittiva e circoscritta ai limiti previsti dalla stessa norma derogatoria.</w:t>
      </w:r>
    </w:p>
    <w:p w14:paraId="41B0B43F" w14:textId="2E79BC73" w:rsidR="009E3C4F" w:rsidRPr="009E3C4F" w:rsidRDefault="00E13A3E" w:rsidP="008303F6">
      <w:pPr>
        <w:spacing w:after="0" w:line="360" w:lineRule="auto"/>
        <w:jc w:val="both"/>
        <w:outlineLvl w:val="2"/>
        <w:rPr>
          <w:rFonts w:ascii="Arial" w:eastAsia="Times New Roman" w:hAnsi="Arial" w:cs="Arial"/>
          <w:kern w:val="0"/>
          <w:lang w:eastAsia="it-IT"/>
          <w14:ligatures w14:val="none"/>
        </w:rPr>
      </w:pPr>
      <w:r w:rsidRPr="00D669A7">
        <w:rPr>
          <w:rFonts w:ascii="Arial" w:eastAsia="Times New Roman" w:hAnsi="Arial" w:cs="Arial"/>
          <w:kern w:val="0"/>
          <w:lang w:eastAsia="it-IT"/>
          <w14:ligatures w14:val="none"/>
        </w:rPr>
        <w:t>In buona sostanza nel caso di specie possiamo affermare che, per i principi sopra rammentati, la</w:t>
      </w:r>
      <w:r w:rsidR="009E3C4F" w:rsidRPr="009E3C4F">
        <w:rPr>
          <w:rFonts w:ascii="Arial" w:eastAsia="Times New Roman" w:hAnsi="Arial" w:cs="Arial"/>
          <w:kern w:val="0"/>
          <w:lang w:eastAsia="it-IT"/>
          <w14:ligatures w14:val="none"/>
        </w:rPr>
        <w:t xml:space="preserve"> "</w:t>
      </w:r>
      <w:r w:rsidRPr="00D669A7">
        <w:rPr>
          <w:rFonts w:ascii="Arial" w:eastAsia="Times New Roman" w:hAnsi="Arial" w:cs="Arial"/>
          <w:kern w:val="0"/>
          <w:lang w:eastAsia="it-IT"/>
          <w14:ligatures w14:val="none"/>
        </w:rPr>
        <w:t>c</w:t>
      </w:r>
      <w:r w:rsidR="009E3C4F" w:rsidRPr="009E3C4F">
        <w:rPr>
          <w:rFonts w:ascii="Arial" w:eastAsia="Times New Roman" w:hAnsi="Arial" w:cs="Arial"/>
          <w:kern w:val="0"/>
          <w:lang w:eastAsia="it-IT"/>
          <w14:ligatures w14:val="none"/>
        </w:rPr>
        <w:t xml:space="preserve">apienza" delle </w:t>
      </w:r>
      <w:r w:rsidRPr="00D669A7">
        <w:rPr>
          <w:rFonts w:ascii="Arial" w:eastAsia="Times New Roman" w:hAnsi="Arial" w:cs="Arial"/>
          <w:kern w:val="0"/>
          <w:lang w:eastAsia="it-IT"/>
          <w14:ligatures w14:val="none"/>
        </w:rPr>
        <w:t>f</w:t>
      </w:r>
      <w:r w:rsidR="009E3C4F" w:rsidRPr="009E3C4F">
        <w:rPr>
          <w:rFonts w:ascii="Arial" w:eastAsia="Times New Roman" w:hAnsi="Arial" w:cs="Arial"/>
          <w:kern w:val="0"/>
          <w:lang w:eastAsia="it-IT"/>
          <w14:ligatures w14:val="none"/>
        </w:rPr>
        <w:t>onti come</w:t>
      </w:r>
      <w:r w:rsidRPr="00D669A7">
        <w:rPr>
          <w:rFonts w:ascii="Arial" w:eastAsia="Times New Roman" w:hAnsi="Arial" w:cs="Arial"/>
          <w:kern w:val="0"/>
          <w:lang w:eastAsia="it-IT"/>
          <w14:ligatures w14:val="none"/>
        </w:rPr>
        <w:t xml:space="preserve"> costituisce un</w:t>
      </w:r>
      <w:r w:rsidR="009E3C4F" w:rsidRPr="009E3C4F">
        <w:rPr>
          <w:rFonts w:ascii="Arial" w:eastAsia="Times New Roman" w:hAnsi="Arial" w:cs="Arial"/>
          <w:kern w:val="0"/>
          <w:lang w:eastAsia="it-IT"/>
          <w14:ligatures w14:val="none"/>
        </w:rPr>
        <w:t xml:space="preserve"> </w:t>
      </w:r>
      <w:r w:rsidRPr="00D669A7">
        <w:rPr>
          <w:rFonts w:ascii="Arial" w:eastAsia="Times New Roman" w:hAnsi="Arial" w:cs="Arial"/>
          <w:kern w:val="0"/>
          <w:lang w:eastAsia="it-IT"/>
          <w14:ligatures w14:val="none"/>
        </w:rPr>
        <w:t>l</w:t>
      </w:r>
      <w:r w:rsidR="009E3C4F" w:rsidRPr="009E3C4F">
        <w:rPr>
          <w:rFonts w:ascii="Arial" w:eastAsia="Times New Roman" w:hAnsi="Arial" w:cs="Arial"/>
          <w:kern w:val="0"/>
          <w:lang w:eastAsia="it-IT"/>
          <w14:ligatures w14:val="none"/>
        </w:rPr>
        <w:t xml:space="preserve">imite al </w:t>
      </w:r>
      <w:r w:rsidRPr="00D669A7">
        <w:rPr>
          <w:rFonts w:ascii="Arial" w:eastAsia="Times New Roman" w:hAnsi="Arial" w:cs="Arial"/>
          <w:kern w:val="0"/>
          <w:lang w:eastAsia="it-IT"/>
          <w14:ligatures w14:val="none"/>
        </w:rPr>
        <w:t>d</w:t>
      </w:r>
      <w:r w:rsidR="009E3C4F" w:rsidRPr="009E3C4F">
        <w:rPr>
          <w:rFonts w:ascii="Arial" w:eastAsia="Times New Roman" w:hAnsi="Arial" w:cs="Arial"/>
          <w:kern w:val="0"/>
          <w:lang w:eastAsia="it-IT"/>
          <w14:ligatures w14:val="none"/>
        </w:rPr>
        <w:t xml:space="preserve">iritto </w:t>
      </w:r>
      <w:r w:rsidRPr="00D669A7">
        <w:rPr>
          <w:rFonts w:ascii="Arial" w:eastAsia="Times New Roman" w:hAnsi="Arial" w:cs="Arial"/>
          <w:kern w:val="0"/>
          <w:lang w:eastAsia="it-IT"/>
          <w14:ligatures w14:val="none"/>
        </w:rPr>
        <w:t xml:space="preserve">soggettivo del privato. </w:t>
      </w:r>
    </w:p>
    <w:p w14:paraId="32FFBD90" w14:textId="1EE4447D" w:rsidR="009E3C4F" w:rsidRPr="009E3C4F" w:rsidRDefault="009E3C4F" w:rsidP="008303F6">
      <w:pPr>
        <w:spacing w:after="0" w:line="360" w:lineRule="auto"/>
        <w:jc w:val="both"/>
        <w:rPr>
          <w:rFonts w:ascii="Arial" w:eastAsia="Times New Roman" w:hAnsi="Arial" w:cs="Arial"/>
          <w:kern w:val="0"/>
          <w:lang w:eastAsia="it-IT"/>
          <w14:ligatures w14:val="none"/>
        </w:rPr>
      </w:pPr>
      <w:r w:rsidRPr="009E3C4F">
        <w:rPr>
          <w:rFonts w:ascii="Arial" w:eastAsia="Times New Roman" w:hAnsi="Arial" w:cs="Arial"/>
          <w:kern w:val="0"/>
          <w:lang w:eastAsia="it-IT"/>
          <w14:ligatures w14:val="none"/>
        </w:rPr>
        <w:lastRenderedPageBreak/>
        <w:t>Se le fonti di finanziamento indicate dall'</w:t>
      </w:r>
      <w:r w:rsidR="00933233">
        <w:rPr>
          <w:rFonts w:ascii="Arial" w:eastAsia="Times New Roman" w:hAnsi="Arial" w:cs="Arial"/>
          <w:kern w:val="0"/>
          <w:lang w:eastAsia="it-IT"/>
          <w14:ligatures w14:val="none"/>
        </w:rPr>
        <w:t>art</w:t>
      </w:r>
      <w:r w:rsidRPr="009E3C4F">
        <w:rPr>
          <w:rFonts w:ascii="Arial" w:eastAsia="Times New Roman" w:hAnsi="Arial" w:cs="Arial"/>
          <w:kern w:val="0"/>
          <w:lang w:eastAsia="it-IT"/>
          <w14:ligatures w14:val="none"/>
        </w:rPr>
        <w:t>. 60, comma 2, non presentano sufficiente capienza, il diritto dell'appaltatore, pur essendo astrattamente riconosciuto dalla norma e dalla clausola contrattuale, non può trovare una concreta soddisfazione economica.</w:t>
      </w:r>
    </w:p>
    <w:p w14:paraId="6DCFF543" w14:textId="77777777" w:rsidR="009E3C4F" w:rsidRPr="009E3C4F" w:rsidRDefault="009E3C4F" w:rsidP="008303F6">
      <w:pPr>
        <w:numPr>
          <w:ilvl w:val="0"/>
          <w:numId w:val="4"/>
        </w:numPr>
        <w:spacing w:after="0" w:line="360" w:lineRule="auto"/>
        <w:jc w:val="both"/>
        <w:rPr>
          <w:rFonts w:ascii="Arial" w:eastAsia="Times New Roman" w:hAnsi="Arial" w:cs="Arial"/>
          <w:kern w:val="0"/>
          <w:lang w:eastAsia="it-IT"/>
          <w14:ligatures w14:val="none"/>
        </w:rPr>
      </w:pPr>
      <w:r w:rsidRPr="009E3C4F">
        <w:rPr>
          <w:rFonts w:ascii="Arial" w:eastAsia="Times New Roman" w:hAnsi="Arial" w:cs="Arial"/>
          <w:kern w:val="0"/>
          <w:lang w:eastAsia="it-IT"/>
          <w14:ligatures w14:val="none"/>
        </w:rPr>
        <w:t>L'obbligo per la stazione appaltante di riconoscere la revisione scatta al verificarsi delle condizioni oggettive.</w:t>
      </w:r>
    </w:p>
    <w:p w14:paraId="5E00FD61" w14:textId="77777777" w:rsidR="009E3C4F" w:rsidRPr="009E3C4F" w:rsidRDefault="009E3C4F" w:rsidP="008303F6">
      <w:pPr>
        <w:numPr>
          <w:ilvl w:val="0"/>
          <w:numId w:val="4"/>
        </w:numPr>
        <w:spacing w:after="0" w:line="360" w:lineRule="auto"/>
        <w:jc w:val="both"/>
        <w:rPr>
          <w:rFonts w:ascii="Arial" w:eastAsia="Times New Roman" w:hAnsi="Arial" w:cs="Arial"/>
          <w:kern w:val="0"/>
          <w:lang w:eastAsia="it-IT"/>
          <w14:ligatures w14:val="none"/>
        </w:rPr>
      </w:pPr>
      <w:r w:rsidRPr="009E3C4F">
        <w:rPr>
          <w:rFonts w:ascii="Arial" w:eastAsia="Times New Roman" w:hAnsi="Arial" w:cs="Arial"/>
          <w:kern w:val="0"/>
          <w:lang w:eastAsia="it-IT"/>
          <w14:ligatures w14:val="none"/>
        </w:rPr>
        <w:t xml:space="preserve">L'erogazione della maggiore somma è </w:t>
      </w:r>
      <w:bookmarkStart w:id="0" w:name="_Hlk208822068"/>
      <w:r w:rsidRPr="009E3C4F">
        <w:rPr>
          <w:rFonts w:ascii="Arial" w:eastAsia="Times New Roman" w:hAnsi="Arial" w:cs="Arial"/>
          <w:kern w:val="0"/>
          <w:lang w:eastAsia="it-IT"/>
          <w14:ligatures w14:val="none"/>
        </w:rPr>
        <w:t>condizionata alla disponibilità delle risorse dalle fonti tassativamente previste.</w:t>
      </w:r>
    </w:p>
    <w:bookmarkEnd w:id="0"/>
    <w:p w14:paraId="67055DC2" w14:textId="278B5FE6" w:rsidR="009E3C4F" w:rsidRPr="009E3C4F" w:rsidRDefault="009E3C4F" w:rsidP="008303F6">
      <w:pPr>
        <w:spacing w:after="0" w:line="360" w:lineRule="auto"/>
        <w:jc w:val="both"/>
        <w:rPr>
          <w:rFonts w:ascii="Arial" w:eastAsia="Times New Roman" w:hAnsi="Arial" w:cs="Arial"/>
          <w:kern w:val="0"/>
          <w:lang w:eastAsia="it-IT"/>
          <w14:ligatures w14:val="none"/>
        </w:rPr>
      </w:pPr>
      <w:r w:rsidRPr="009E3C4F">
        <w:rPr>
          <w:rFonts w:ascii="Arial" w:eastAsia="Times New Roman" w:hAnsi="Arial" w:cs="Arial"/>
          <w:kern w:val="0"/>
          <w:lang w:eastAsia="it-IT"/>
          <w14:ligatures w14:val="none"/>
        </w:rPr>
        <w:t>Se queste risorse sono esaurite o insufficienti, la stazione appaltante non è tenuta a trovare altre fonti di finanziamento al di fuori di quelle indicate dall'</w:t>
      </w:r>
      <w:r w:rsidR="00933233">
        <w:rPr>
          <w:rFonts w:ascii="Arial" w:eastAsia="Times New Roman" w:hAnsi="Arial" w:cs="Arial"/>
          <w:kern w:val="0"/>
          <w:lang w:eastAsia="it-IT"/>
          <w14:ligatures w14:val="none"/>
        </w:rPr>
        <w:t>art</w:t>
      </w:r>
      <w:r w:rsidRPr="009E3C4F">
        <w:rPr>
          <w:rFonts w:ascii="Arial" w:eastAsia="Times New Roman" w:hAnsi="Arial" w:cs="Arial"/>
          <w:kern w:val="0"/>
          <w:lang w:eastAsia="it-IT"/>
          <w14:ligatures w14:val="none"/>
        </w:rPr>
        <w:t>icolo 60, comma 2. Il diritto dell'appaltatore diventa, in tal caso, un diritto "</w:t>
      </w:r>
      <w:r w:rsidRPr="00933233">
        <w:rPr>
          <w:rFonts w:ascii="Arial" w:eastAsia="Times New Roman" w:hAnsi="Arial" w:cs="Arial"/>
          <w:i/>
          <w:iCs/>
          <w:kern w:val="0"/>
          <w:lang w:eastAsia="it-IT"/>
          <w14:ligatures w14:val="none"/>
        </w:rPr>
        <w:t>senza copertura</w:t>
      </w:r>
      <w:r w:rsidRPr="009E3C4F">
        <w:rPr>
          <w:rFonts w:ascii="Arial" w:eastAsia="Times New Roman" w:hAnsi="Arial" w:cs="Arial"/>
          <w:kern w:val="0"/>
          <w:lang w:eastAsia="it-IT"/>
          <w14:ligatures w14:val="none"/>
        </w:rPr>
        <w:t>", e non può essere esercitato in concreto.</w:t>
      </w:r>
    </w:p>
    <w:p w14:paraId="753F3C10" w14:textId="77777777" w:rsidR="00C2743C" w:rsidRPr="00D669A7" w:rsidRDefault="009E3C4F" w:rsidP="008303F6">
      <w:pPr>
        <w:spacing w:after="0" w:line="360" w:lineRule="auto"/>
        <w:jc w:val="both"/>
        <w:rPr>
          <w:rFonts w:ascii="Arial" w:eastAsia="Times New Roman" w:hAnsi="Arial" w:cs="Arial"/>
          <w:kern w:val="0"/>
          <w:lang w:eastAsia="it-IT"/>
          <w14:ligatures w14:val="none"/>
        </w:rPr>
      </w:pPr>
      <w:r w:rsidRPr="009E3C4F">
        <w:rPr>
          <w:rFonts w:ascii="Arial" w:eastAsia="Times New Roman" w:hAnsi="Arial" w:cs="Arial"/>
          <w:kern w:val="0"/>
          <w:lang w:eastAsia="it-IT"/>
          <w14:ligatures w14:val="none"/>
        </w:rPr>
        <w:t>Questo approccio è in linea con la giurisprudenza consolidata in materia di spese pubbliche e con l'esigenza di tutelare la finanza pubblica, spesso ribadita anche in altri contesti dove l'erogazione di somme è subordinata all'effettiva disponibilità di fondi specifici (si pensi ai contributi o rimborsi a carico di fondi speciali).</w:t>
      </w:r>
    </w:p>
    <w:p w14:paraId="3C76156D" w14:textId="7E174260" w:rsidR="008303F6" w:rsidRPr="00D669A7" w:rsidRDefault="00C2743C" w:rsidP="008303F6">
      <w:pPr>
        <w:spacing w:after="0" w:line="360" w:lineRule="auto"/>
        <w:jc w:val="both"/>
        <w:rPr>
          <w:rFonts w:ascii="Arial" w:eastAsia="Times New Roman" w:hAnsi="Arial" w:cs="Arial"/>
          <w:kern w:val="0"/>
          <w:lang w:eastAsia="it-IT"/>
          <w14:ligatures w14:val="none"/>
        </w:rPr>
      </w:pPr>
      <w:r w:rsidRPr="00D669A7">
        <w:rPr>
          <w:rFonts w:ascii="Arial" w:eastAsia="Times New Roman" w:hAnsi="Arial" w:cs="Arial"/>
          <w:kern w:val="0"/>
          <w:lang w:eastAsia="it-IT"/>
          <w14:ligatures w14:val="none"/>
        </w:rPr>
        <w:t xml:space="preserve">Anche per </w:t>
      </w:r>
      <w:r w:rsidRPr="00C2743C">
        <w:rPr>
          <w:rFonts w:ascii="Arial" w:eastAsia="Times New Roman" w:hAnsi="Arial" w:cs="Arial"/>
          <w:kern w:val="0"/>
          <w:lang w:eastAsia="it-IT"/>
          <w14:ligatures w14:val="none"/>
        </w:rPr>
        <w:t>la</w:t>
      </w:r>
      <w:r w:rsidRPr="00D669A7">
        <w:rPr>
          <w:rFonts w:ascii="Arial" w:eastAsia="Times New Roman" w:hAnsi="Arial" w:cs="Arial"/>
          <w:kern w:val="0"/>
          <w:lang w:eastAsia="it-IT"/>
          <w14:ligatures w14:val="none"/>
        </w:rPr>
        <w:t xml:space="preserve"> stessa </w:t>
      </w:r>
      <w:r w:rsidRPr="00C2743C">
        <w:rPr>
          <w:rFonts w:ascii="Arial" w:eastAsia="Times New Roman" w:hAnsi="Arial" w:cs="Arial"/>
          <w:kern w:val="0"/>
          <w:lang w:eastAsia="it-IT"/>
          <w14:ligatures w14:val="none"/>
        </w:rPr>
        <w:t>Corte Costituzionale, il principio di equilibrio di bilancio (</w:t>
      </w:r>
      <w:r w:rsidR="00933233" w:rsidRPr="008F0D4A">
        <w:rPr>
          <w:rFonts w:ascii="Arial" w:eastAsia="Times New Roman" w:hAnsi="Arial" w:cs="Arial"/>
          <w:i/>
          <w:iCs/>
          <w:kern w:val="0"/>
          <w:lang w:eastAsia="it-IT"/>
          <w14:ligatures w14:val="none"/>
        </w:rPr>
        <w:t>Art</w:t>
      </w:r>
      <w:r w:rsidRPr="008F0D4A">
        <w:rPr>
          <w:rFonts w:ascii="Arial" w:eastAsia="Times New Roman" w:hAnsi="Arial" w:cs="Arial"/>
          <w:i/>
          <w:iCs/>
          <w:kern w:val="0"/>
          <w:lang w:eastAsia="it-IT"/>
          <w14:ligatures w14:val="none"/>
        </w:rPr>
        <w:t xml:space="preserve">. 81 Cost., con riferimento anche al buon andamento e imparzialità della pubblica amministrazione ex </w:t>
      </w:r>
      <w:r w:rsidR="00933233" w:rsidRPr="008F0D4A">
        <w:rPr>
          <w:rFonts w:ascii="Arial" w:eastAsia="Times New Roman" w:hAnsi="Arial" w:cs="Arial"/>
          <w:i/>
          <w:iCs/>
          <w:kern w:val="0"/>
          <w:lang w:eastAsia="it-IT"/>
          <w14:ligatures w14:val="none"/>
        </w:rPr>
        <w:t>Art</w:t>
      </w:r>
      <w:r w:rsidRPr="008F0D4A">
        <w:rPr>
          <w:rFonts w:ascii="Arial" w:eastAsia="Times New Roman" w:hAnsi="Arial" w:cs="Arial"/>
          <w:i/>
          <w:iCs/>
          <w:kern w:val="0"/>
          <w:lang w:eastAsia="it-IT"/>
          <w14:ligatures w14:val="none"/>
        </w:rPr>
        <w:t>. 97 Cost</w:t>
      </w:r>
      <w:r w:rsidRPr="00C2743C">
        <w:rPr>
          <w:rFonts w:ascii="Arial" w:eastAsia="Times New Roman" w:hAnsi="Arial" w:cs="Arial"/>
          <w:kern w:val="0"/>
          <w:lang w:eastAsia="it-IT"/>
          <w14:ligatures w14:val="none"/>
        </w:rPr>
        <w:t>.) assume una rilevanza tale da poter effettivamente "</w:t>
      </w:r>
      <w:r w:rsidRPr="00255E2E">
        <w:rPr>
          <w:rFonts w:ascii="Arial" w:eastAsia="Times New Roman" w:hAnsi="Arial" w:cs="Arial"/>
          <w:i/>
          <w:iCs/>
          <w:kern w:val="0"/>
          <w:lang w:eastAsia="it-IT"/>
          <w14:ligatures w14:val="none"/>
        </w:rPr>
        <w:t>anestetizzare</w:t>
      </w:r>
      <w:r w:rsidRPr="00C2743C">
        <w:rPr>
          <w:rFonts w:ascii="Arial" w:eastAsia="Times New Roman" w:hAnsi="Arial" w:cs="Arial"/>
          <w:kern w:val="0"/>
          <w:lang w:eastAsia="it-IT"/>
          <w14:ligatures w14:val="none"/>
        </w:rPr>
        <w:t>" (o, più precisamente, far recedere) diritti soggettivi di mera natura economica, che non attengono ai livelli essenziali delle prestazioni (LEP) relative a diritti fondamentali.</w:t>
      </w:r>
      <w:r w:rsidRPr="00D669A7">
        <w:rPr>
          <w:rFonts w:ascii="Arial" w:eastAsia="Times New Roman" w:hAnsi="Arial" w:cs="Arial"/>
          <w:kern w:val="0"/>
          <w:lang w:eastAsia="it-IT"/>
          <w14:ligatures w14:val="none"/>
        </w:rPr>
        <w:t xml:space="preserve"> (sentenze </w:t>
      </w:r>
      <w:proofErr w:type="spellStart"/>
      <w:r w:rsidRPr="00D669A7">
        <w:rPr>
          <w:rFonts w:ascii="Arial" w:eastAsia="Times New Roman" w:hAnsi="Arial" w:cs="Arial"/>
          <w:kern w:val="0"/>
          <w:lang w:eastAsia="it-IT"/>
          <w14:ligatures w14:val="none"/>
        </w:rPr>
        <w:t>nn</w:t>
      </w:r>
      <w:proofErr w:type="spellEnd"/>
      <w:r w:rsidRPr="00D669A7">
        <w:rPr>
          <w:rFonts w:ascii="Arial" w:eastAsia="Times New Roman" w:hAnsi="Arial" w:cs="Arial"/>
          <w:kern w:val="0"/>
          <w:lang w:eastAsia="it-IT"/>
          <w14:ligatures w14:val="none"/>
        </w:rPr>
        <w:t xml:space="preserve">. 17/2022, 226/2021, 106/2021, 235/2022 la disponibilità finanziaria sia un vincolo ineludibile per le spese pubbliche, comprese quelle derivanti da pretese </w:t>
      </w:r>
      <w:r w:rsidR="00D669A7" w:rsidRPr="00D669A7">
        <w:rPr>
          <w:rFonts w:ascii="Arial" w:eastAsia="Times New Roman" w:hAnsi="Arial" w:cs="Arial"/>
          <w:kern w:val="0"/>
          <w:lang w:eastAsia="it-IT"/>
          <w14:ligatures w14:val="none"/>
        </w:rPr>
        <w:t xml:space="preserve">economiche che ovviamente non attengono </w:t>
      </w:r>
      <w:r w:rsidRPr="00D669A7">
        <w:rPr>
          <w:rFonts w:ascii="Arial" w:eastAsia="Times New Roman" w:hAnsi="Arial" w:cs="Arial"/>
          <w:kern w:val="0"/>
          <w:lang w:eastAsia="it-IT"/>
          <w14:ligatures w14:val="none"/>
        </w:rPr>
        <w:t>a livelli essenziali delle prestazioni</w:t>
      </w:r>
      <w:r w:rsidR="00D669A7" w:rsidRPr="00D669A7">
        <w:rPr>
          <w:rFonts w:ascii="Arial" w:eastAsia="Times New Roman" w:hAnsi="Arial" w:cs="Arial"/>
          <w:kern w:val="0"/>
          <w:lang w:eastAsia="it-IT"/>
          <w14:ligatures w14:val="none"/>
        </w:rPr>
        <w:t>, s</w:t>
      </w:r>
      <w:r w:rsidRPr="00D669A7">
        <w:rPr>
          <w:rFonts w:ascii="Arial" w:eastAsia="Times New Roman" w:hAnsi="Arial" w:cs="Arial"/>
          <w:kern w:val="0"/>
          <w:lang w:eastAsia="it-IT"/>
          <w14:ligatures w14:val="none"/>
        </w:rPr>
        <w:t>entenza n. 275/2016).</w:t>
      </w:r>
    </w:p>
    <w:p w14:paraId="472D0725" w14:textId="77777777" w:rsidR="008F0D4A" w:rsidRDefault="008303F6" w:rsidP="008303F6">
      <w:pPr>
        <w:spacing w:after="0" w:line="360" w:lineRule="auto"/>
        <w:jc w:val="both"/>
        <w:rPr>
          <w:rFonts w:ascii="Arial" w:eastAsia="Times New Roman" w:hAnsi="Arial" w:cs="Arial"/>
          <w:kern w:val="0"/>
          <w:lang w:eastAsia="it-IT"/>
          <w14:ligatures w14:val="none"/>
        </w:rPr>
      </w:pPr>
      <w:r w:rsidRPr="00D669A7">
        <w:rPr>
          <w:rFonts w:ascii="Arial" w:eastAsia="Times New Roman" w:hAnsi="Arial" w:cs="Arial"/>
          <w:kern w:val="0"/>
          <w:lang w:eastAsia="it-IT"/>
          <w14:ligatures w14:val="none"/>
        </w:rPr>
        <w:t>Del resto, i</w:t>
      </w:r>
      <w:r w:rsidR="00C2743C" w:rsidRPr="00C2743C">
        <w:rPr>
          <w:rFonts w:ascii="Arial" w:eastAsia="Times New Roman" w:hAnsi="Arial" w:cs="Arial"/>
          <w:kern w:val="0"/>
          <w:lang w:eastAsia="it-IT"/>
          <w14:ligatures w14:val="none"/>
        </w:rPr>
        <w:t xml:space="preserve">l privato non può vantare un diritto a che la </w:t>
      </w:r>
      <w:r w:rsidR="00175CB7">
        <w:rPr>
          <w:rFonts w:ascii="Arial" w:eastAsia="Times New Roman" w:hAnsi="Arial" w:cs="Arial"/>
          <w:kern w:val="0"/>
          <w:lang w:eastAsia="it-IT"/>
          <w14:ligatures w14:val="none"/>
        </w:rPr>
        <w:t>pubblica amministrazione</w:t>
      </w:r>
      <w:r w:rsidR="00C2743C" w:rsidRPr="00C2743C">
        <w:rPr>
          <w:rFonts w:ascii="Arial" w:eastAsia="Times New Roman" w:hAnsi="Arial" w:cs="Arial"/>
          <w:kern w:val="0"/>
          <w:lang w:eastAsia="it-IT"/>
          <w14:ligatures w14:val="none"/>
        </w:rPr>
        <w:t xml:space="preserve"> trovi </w:t>
      </w:r>
      <w:r w:rsidR="00C2743C" w:rsidRPr="00C2743C">
        <w:rPr>
          <w:rFonts w:ascii="Arial" w:eastAsia="Times New Roman" w:hAnsi="Arial" w:cs="Arial"/>
          <w:i/>
          <w:iCs/>
          <w:kern w:val="0"/>
          <w:lang w:eastAsia="it-IT"/>
          <w14:ligatures w14:val="none"/>
        </w:rPr>
        <w:t>sempre e comunque</w:t>
      </w:r>
      <w:r w:rsidR="00C2743C" w:rsidRPr="00C2743C">
        <w:rPr>
          <w:rFonts w:ascii="Arial" w:eastAsia="Times New Roman" w:hAnsi="Arial" w:cs="Arial"/>
          <w:kern w:val="0"/>
          <w:lang w:eastAsia="it-IT"/>
          <w14:ligatures w14:val="none"/>
        </w:rPr>
        <w:t xml:space="preserve"> i fondi necessari per soddisfare ogni sua pretesa economica, soprattutto se ciò mette a repentaglio la capacità dell'ente di erogare servizi pubblici essenziali o di mantenere la propria stabilità finanziaria.</w:t>
      </w:r>
      <w:r w:rsidRPr="00D669A7">
        <w:rPr>
          <w:rFonts w:ascii="Arial" w:eastAsia="Times New Roman" w:hAnsi="Arial" w:cs="Arial"/>
          <w:kern w:val="0"/>
          <w:lang w:eastAsia="it-IT"/>
          <w14:ligatures w14:val="none"/>
        </w:rPr>
        <w:t xml:space="preserve"> </w:t>
      </w:r>
      <w:r w:rsidR="00C2743C" w:rsidRPr="00C2743C">
        <w:rPr>
          <w:rFonts w:ascii="Arial" w:eastAsia="Times New Roman" w:hAnsi="Arial" w:cs="Arial"/>
          <w:kern w:val="0"/>
          <w:lang w:eastAsia="it-IT"/>
          <w14:ligatures w14:val="none"/>
        </w:rPr>
        <w:t>Questo per salvaguardare la funzionalità dell'ente e la sua capacità di continuare a operare nell'interesse pubblico.</w:t>
      </w:r>
      <w:r w:rsidR="00D669A7">
        <w:rPr>
          <w:rFonts w:ascii="Arial" w:eastAsia="Times New Roman" w:hAnsi="Arial" w:cs="Arial"/>
          <w:kern w:val="0"/>
          <w:lang w:eastAsia="it-IT"/>
          <w14:ligatures w14:val="none"/>
        </w:rPr>
        <w:t xml:space="preserve"> </w:t>
      </w:r>
    </w:p>
    <w:p w14:paraId="7450012E" w14:textId="77777777" w:rsidR="008F0D4A" w:rsidRDefault="00C2743C" w:rsidP="008303F6">
      <w:pPr>
        <w:spacing w:after="0" w:line="360" w:lineRule="auto"/>
        <w:jc w:val="both"/>
        <w:rPr>
          <w:rFonts w:ascii="Arial" w:eastAsia="Times New Roman" w:hAnsi="Arial" w:cs="Arial"/>
          <w:kern w:val="0"/>
          <w:lang w:eastAsia="it-IT"/>
          <w14:ligatures w14:val="none"/>
        </w:rPr>
      </w:pPr>
      <w:r w:rsidRPr="00C2743C">
        <w:rPr>
          <w:rFonts w:ascii="Arial" w:eastAsia="Times New Roman" w:hAnsi="Arial" w:cs="Arial"/>
          <w:kern w:val="0"/>
          <w:lang w:eastAsia="it-IT"/>
          <w14:ligatures w14:val="none"/>
        </w:rPr>
        <w:t xml:space="preserve">Nel caso della revisione dei prezzi negli appalti, la giurisprudenza ha spesso bilanciato il diritto dell'appaltatore a un equo compenso e all'equilibrio economico del contratto con la necessità della Pubblica Amministrazione di rispettare i principi di finanza pubblica e di buona gestione delle risorse. In periodi di crisi economica o di fluttuazioni dei prezzi, le norme sulla revisione prezzi </w:t>
      </w:r>
      <w:r w:rsidR="008303F6" w:rsidRPr="00D669A7">
        <w:rPr>
          <w:rFonts w:ascii="Arial" w:eastAsia="Times New Roman" w:hAnsi="Arial" w:cs="Arial"/>
          <w:kern w:val="0"/>
          <w:lang w:eastAsia="it-IT"/>
          <w14:ligatures w14:val="none"/>
        </w:rPr>
        <w:t xml:space="preserve">storicamente hanno previsto </w:t>
      </w:r>
      <w:r w:rsidRPr="00C2743C">
        <w:rPr>
          <w:rFonts w:ascii="Arial" w:eastAsia="Times New Roman" w:hAnsi="Arial" w:cs="Arial"/>
          <w:kern w:val="0"/>
          <w:lang w:eastAsia="it-IT"/>
          <w14:ligatures w14:val="none"/>
        </w:rPr>
        <w:t xml:space="preserve">limiti stringenti o condizioni specifiche (es. disponibilità di fondi nel bilancio dell'ente appaltante). </w:t>
      </w:r>
    </w:p>
    <w:p w14:paraId="4EED5F48" w14:textId="2065969E" w:rsidR="00C2743C" w:rsidRPr="00C2743C" w:rsidRDefault="00C2743C" w:rsidP="008303F6">
      <w:pPr>
        <w:spacing w:after="0" w:line="360" w:lineRule="auto"/>
        <w:jc w:val="both"/>
        <w:rPr>
          <w:rFonts w:ascii="Arial" w:eastAsia="Times New Roman" w:hAnsi="Arial" w:cs="Arial"/>
          <w:kern w:val="0"/>
          <w:lang w:eastAsia="it-IT"/>
          <w14:ligatures w14:val="none"/>
        </w:rPr>
      </w:pPr>
      <w:r w:rsidRPr="00C2743C">
        <w:rPr>
          <w:rFonts w:ascii="Arial" w:eastAsia="Times New Roman" w:hAnsi="Arial" w:cs="Arial"/>
          <w:kern w:val="0"/>
          <w:lang w:eastAsia="it-IT"/>
          <w14:ligatures w14:val="none"/>
        </w:rPr>
        <w:t xml:space="preserve">Se l'ente non </w:t>
      </w:r>
      <w:r w:rsidR="008303F6" w:rsidRPr="00D669A7">
        <w:rPr>
          <w:rFonts w:ascii="Arial" w:eastAsia="Times New Roman" w:hAnsi="Arial" w:cs="Arial"/>
          <w:kern w:val="0"/>
          <w:lang w:eastAsia="it-IT"/>
          <w14:ligatures w14:val="none"/>
        </w:rPr>
        <w:t xml:space="preserve">quindi </w:t>
      </w:r>
      <w:r w:rsidRPr="00C2743C">
        <w:rPr>
          <w:rFonts w:ascii="Arial" w:eastAsia="Times New Roman" w:hAnsi="Arial" w:cs="Arial"/>
          <w:kern w:val="0"/>
          <w:lang w:eastAsia="it-IT"/>
          <w14:ligatures w14:val="none"/>
        </w:rPr>
        <w:t>ha la disponibilità finanziaria o se il riconoscimento di tale diritto comprometterebbe gravemente il bilancio (e di conseguenza, la capacità di erogare servizi essenziali alla collettività), la pretesa economica dell'appaltatore può essere compressa o anche negata, proprio in virtù della prevalenza della salvaguardia dell'equilibrio finanziario</w:t>
      </w:r>
      <w:r w:rsidR="008303F6" w:rsidRPr="008303F6">
        <w:rPr>
          <w:rFonts w:ascii="Arial" w:eastAsia="Times New Roman" w:hAnsi="Arial" w:cs="Arial"/>
          <w:kern w:val="0"/>
          <w:lang w:eastAsia="it-IT"/>
          <w14:ligatures w14:val="none"/>
        </w:rPr>
        <w:t>.</w:t>
      </w:r>
    </w:p>
    <w:p w14:paraId="67C4ACB2" w14:textId="74189437" w:rsidR="006574F4" w:rsidRPr="005F0BB2" w:rsidRDefault="006574F4" w:rsidP="006574F4">
      <w:pPr>
        <w:spacing w:after="0" w:line="360" w:lineRule="auto"/>
        <w:jc w:val="both"/>
        <w:rPr>
          <w:rFonts w:ascii="Arial" w:hAnsi="Arial" w:cs="Arial"/>
          <w:b/>
          <w:bCs/>
        </w:rPr>
      </w:pPr>
      <w:r>
        <w:rPr>
          <w:rFonts w:ascii="Arial" w:hAnsi="Arial" w:cs="Arial"/>
          <w:b/>
          <w:bCs/>
        </w:rPr>
        <w:lastRenderedPageBreak/>
        <w:t>Esempio di articolo da inserire nel testo del contratto di appalto di servizi:</w:t>
      </w:r>
    </w:p>
    <w:p w14:paraId="57E38ABC" w14:textId="385B5A6A" w:rsidR="006574F4" w:rsidRPr="006574F4" w:rsidRDefault="006574F4" w:rsidP="006574F4">
      <w:pPr>
        <w:spacing w:after="0" w:line="360" w:lineRule="auto"/>
        <w:jc w:val="both"/>
        <w:rPr>
          <w:rFonts w:ascii="Arial" w:hAnsi="Arial" w:cs="Arial"/>
          <w:i/>
          <w:iCs/>
        </w:rPr>
      </w:pPr>
      <w:r w:rsidRPr="006574F4">
        <w:rPr>
          <w:rFonts w:ascii="Arial" w:hAnsi="Arial" w:cs="Arial"/>
          <w:i/>
          <w:iCs/>
        </w:rPr>
        <w:t xml:space="preserve">Le parti, di comune accordo, dichiarano che, esclusivamente nei limiti delle risorse di cui all’art. 60, comma 3, del </w:t>
      </w:r>
      <w:proofErr w:type="spellStart"/>
      <w:r w:rsidRPr="006574F4">
        <w:rPr>
          <w:rFonts w:ascii="Arial" w:hAnsi="Arial" w:cs="Arial"/>
          <w:i/>
          <w:iCs/>
        </w:rPr>
        <w:t>D.Lgs</w:t>
      </w:r>
      <w:proofErr w:type="spellEnd"/>
      <w:r w:rsidRPr="006574F4">
        <w:rPr>
          <w:rFonts w:ascii="Arial" w:hAnsi="Arial" w:cs="Arial"/>
          <w:i/>
          <w:iCs/>
        </w:rPr>
        <w:t xml:space="preserve"> 36/2023, come per altro sottolineato nei commi 1 e 2 dell’art. 9 del medesimo decreto legislativo, laddove si verifichino particolari condizioni di natura oggettiva e non prevedibili al momento della formulazione dell’offerta, ivi compresa la variazione del costo derivante dal rinnovo dei contratti collettivi nazionali di lavoro, l’appaltatore, ha diritto alla rinegoziazione del prezzo. Il diritto è </w:t>
      </w:r>
      <w:r w:rsidRPr="006574F4">
        <w:rPr>
          <w:rFonts w:ascii="Arial" w:eastAsia="Times New Roman" w:hAnsi="Arial" w:cs="Arial"/>
          <w:i/>
          <w:iCs/>
          <w:kern w:val="0"/>
          <w:lang w:eastAsia="it-IT"/>
          <w14:ligatures w14:val="none"/>
        </w:rPr>
        <w:t xml:space="preserve">condizionato alla disponibilità delle risorse tassativamente previste nelle fattispecie di cui all’art. 60 </w:t>
      </w:r>
      <w:r w:rsidRPr="006574F4">
        <w:rPr>
          <w:rFonts w:ascii="Arial" w:hAnsi="Arial" w:cs="Arial"/>
          <w:i/>
          <w:iCs/>
        </w:rPr>
        <w:t xml:space="preserve">del </w:t>
      </w:r>
      <w:proofErr w:type="spellStart"/>
      <w:r w:rsidRPr="006574F4">
        <w:rPr>
          <w:rFonts w:ascii="Arial" w:hAnsi="Arial" w:cs="Arial"/>
          <w:i/>
          <w:iCs/>
        </w:rPr>
        <w:t>D.Lgs</w:t>
      </w:r>
      <w:proofErr w:type="spellEnd"/>
      <w:r w:rsidRPr="006574F4">
        <w:rPr>
          <w:rFonts w:ascii="Arial" w:hAnsi="Arial" w:cs="Arial"/>
          <w:i/>
          <w:iCs/>
        </w:rPr>
        <w:t xml:space="preserve"> 36/2023 e quando la variazione del costo del servizio, in aumento sia superiore al 5 per cento dell’importo complessivo di contratto stipulato e opera nella misura dell’80 per cento della variazione stessa, in relazione alle prestazioni da eseguire (rimanendo quindi ex lege, ogni scostamento inferiore a tale percentuale (5%), quale variazione allocabile alla normale alea del contratto commutativo)</w:t>
      </w:r>
    </w:p>
    <w:p w14:paraId="4F4E2CA2" w14:textId="77777777" w:rsidR="006574F4" w:rsidRPr="006574F4" w:rsidRDefault="006574F4" w:rsidP="006574F4">
      <w:pPr>
        <w:spacing w:after="0" w:line="360" w:lineRule="auto"/>
        <w:jc w:val="both"/>
        <w:rPr>
          <w:rFonts w:ascii="Arial" w:hAnsi="Arial" w:cs="Arial"/>
          <w:i/>
          <w:iCs/>
        </w:rPr>
      </w:pPr>
      <w:r w:rsidRPr="006574F4">
        <w:rPr>
          <w:rFonts w:ascii="Arial" w:hAnsi="Arial" w:cs="Arial"/>
          <w:i/>
          <w:iCs/>
        </w:rPr>
        <w:t xml:space="preserve">Le parti danno atto che il meccanismo di variazione del prezzo si applica di converso anche in caso di diminuzione del prezzo a vantaggio del committente, così come indicato nell’art. 60 del </w:t>
      </w:r>
      <w:proofErr w:type="spellStart"/>
      <w:r w:rsidRPr="006574F4">
        <w:rPr>
          <w:rFonts w:ascii="Arial" w:hAnsi="Arial" w:cs="Arial"/>
          <w:i/>
          <w:iCs/>
        </w:rPr>
        <w:t>D.Lgs</w:t>
      </w:r>
      <w:proofErr w:type="spellEnd"/>
      <w:r w:rsidRPr="006574F4">
        <w:rPr>
          <w:rFonts w:ascii="Arial" w:hAnsi="Arial" w:cs="Arial"/>
          <w:i/>
          <w:iCs/>
        </w:rPr>
        <w:t xml:space="preserve"> 36/2023.</w:t>
      </w:r>
    </w:p>
    <w:p w14:paraId="051310A2" w14:textId="51B6B2C4" w:rsidR="006574F4" w:rsidRPr="006574F4" w:rsidRDefault="006574F4" w:rsidP="006574F4">
      <w:pPr>
        <w:spacing w:after="0" w:line="360" w:lineRule="auto"/>
        <w:jc w:val="both"/>
        <w:rPr>
          <w:rFonts w:ascii="Arial" w:hAnsi="Arial" w:cs="Arial"/>
          <w:i/>
          <w:iCs/>
        </w:rPr>
      </w:pPr>
      <w:r w:rsidRPr="006574F4">
        <w:rPr>
          <w:rFonts w:ascii="Arial" w:hAnsi="Arial" w:cs="Arial"/>
          <w:i/>
          <w:iCs/>
        </w:rPr>
        <w:t xml:space="preserve">Le parti danno atto che in attuazione di quanto stabilito nell’art. 60, comma 3, del </w:t>
      </w:r>
      <w:proofErr w:type="spellStart"/>
      <w:r w:rsidRPr="006574F4">
        <w:rPr>
          <w:rFonts w:ascii="Arial" w:hAnsi="Arial" w:cs="Arial"/>
          <w:i/>
          <w:iCs/>
        </w:rPr>
        <w:t>D.Lgs</w:t>
      </w:r>
      <w:proofErr w:type="spellEnd"/>
      <w:r w:rsidRPr="006574F4">
        <w:rPr>
          <w:rFonts w:ascii="Arial" w:hAnsi="Arial" w:cs="Arial"/>
          <w:i/>
          <w:iCs/>
        </w:rPr>
        <w:t xml:space="preserve"> 36/2023, a fini della determinazione della variazione dei costi e dei prezzi di cui al presente contratto si utilizza come indice il seguente (…). </w:t>
      </w:r>
    </w:p>
    <w:p w14:paraId="2ADDF3F5" w14:textId="77777777" w:rsidR="00C2743C" w:rsidRPr="008303F6" w:rsidRDefault="00C2743C" w:rsidP="008303F6">
      <w:pPr>
        <w:spacing w:after="0" w:line="360" w:lineRule="auto"/>
        <w:jc w:val="both"/>
        <w:rPr>
          <w:rFonts w:ascii="Arial" w:hAnsi="Arial" w:cs="Arial"/>
        </w:rPr>
      </w:pPr>
    </w:p>
    <w:sectPr w:rsidR="00C2743C" w:rsidRPr="008303F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934C80"/>
    <w:multiLevelType w:val="multilevel"/>
    <w:tmpl w:val="22687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DB7F81"/>
    <w:multiLevelType w:val="multilevel"/>
    <w:tmpl w:val="94CE0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873A21"/>
    <w:multiLevelType w:val="multilevel"/>
    <w:tmpl w:val="A7C6D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59D09A6"/>
    <w:multiLevelType w:val="multilevel"/>
    <w:tmpl w:val="BCD24B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69C12D0"/>
    <w:multiLevelType w:val="hybridMultilevel"/>
    <w:tmpl w:val="D80CE0B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58932453">
    <w:abstractNumId w:val="4"/>
  </w:num>
  <w:num w:numId="2" w16cid:durableId="596328074">
    <w:abstractNumId w:val="0"/>
  </w:num>
  <w:num w:numId="3" w16cid:durableId="2090539127">
    <w:abstractNumId w:val="2"/>
  </w:num>
  <w:num w:numId="4" w16cid:durableId="739133329">
    <w:abstractNumId w:val="1"/>
  </w:num>
  <w:num w:numId="5" w16cid:durableId="49460898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97C"/>
    <w:rsid w:val="000F7075"/>
    <w:rsid w:val="00175CB7"/>
    <w:rsid w:val="00255E2E"/>
    <w:rsid w:val="002E63AE"/>
    <w:rsid w:val="00475392"/>
    <w:rsid w:val="004A6998"/>
    <w:rsid w:val="0051590C"/>
    <w:rsid w:val="0053036C"/>
    <w:rsid w:val="00542FE7"/>
    <w:rsid w:val="00600927"/>
    <w:rsid w:val="006574F4"/>
    <w:rsid w:val="008303F6"/>
    <w:rsid w:val="008F0D4A"/>
    <w:rsid w:val="00933233"/>
    <w:rsid w:val="00991564"/>
    <w:rsid w:val="009E3C4F"/>
    <w:rsid w:val="00A80839"/>
    <w:rsid w:val="00A83EA3"/>
    <w:rsid w:val="00AA4247"/>
    <w:rsid w:val="00C2743C"/>
    <w:rsid w:val="00C42501"/>
    <w:rsid w:val="00C50912"/>
    <w:rsid w:val="00D02FBD"/>
    <w:rsid w:val="00D669A7"/>
    <w:rsid w:val="00D87E79"/>
    <w:rsid w:val="00D9447A"/>
    <w:rsid w:val="00DB0A43"/>
    <w:rsid w:val="00DD2E34"/>
    <w:rsid w:val="00E13A3E"/>
    <w:rsid w:val="00F5597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55572"/>
  <w15:chartTrackingRefBased/>
  <w15:docId w15:val="{E2043C3B-2E30-4E3E-B208-88228DA50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F559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F559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F5597C"/>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F5597C"/>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F5597C"/>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F5597C"/>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F5597C"/>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F5597C"/>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F5597C"/>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5597C"/>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F5597C"/>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F5597C"/>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F5597C"/>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F5597C"/>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F5597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F5597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F5597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F5597C"/>
    <w:rPr>
      <w:rFonts w:eastAsiaTheme="majorEastAsia" w:cstheme="majorBidi"/>
      <w:color w:val="272727" w:themeColor="text1" w:themeTint="D8"/>
    </w:rPr>
  </w:style>
  <w:style w:type="paragraph" w:styleId="Titolo">
    <w:name w:val="Title"/>
    <w:basedOn w:val="Normale"/>
    <w:next w:val="Normale"/>
    <w:link w:val="TitoloCarattere"/>
    <w:uiPriority w:val="10"/>
    <w:qFormat/>
    <w:rsid w:val="00F559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F5597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F5597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F5597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F5597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F5597C"/>
    <w:rPr>
      <w:i/>
      <w:iCs/>
      <w:color w:val="404040" w:themeColor="text1" w:themeTint="BF"/>
    </w:rPr>
  </w:style>
  <w:style w:type="paragraph" w:styleId="Paragrafoelenco">
    <w:name w:val="List Paragraph"/>
    <w:basedOn w:val="Normale"/>
    <w:uiPriority w:val="34"/>
    <w:qFormat/>
    <w:rsid w:val="00F5597C"/>
    <w:pPr>
      <w:ind w:left="720"/>
      <w:contextualSpacing/>
    </w:pPr>
  </w:style>
  <w:style w:type="character" w:styleId="Enfasiintensa">
    <w:name w:val="Intense Emphasis"/>
    <w:basedOn w:val="Carpredefinitoparagrafo"/>
    <w:uiPriority w:val="21"/>
    <w:qFormat/>
    <w:rsid w:val="00F5597C"/>
    <w:rPr>
      <w:i/>
      <w:iCs/>
      <w:color w:val="0F4761" w:themeColor="accent1" w:themeShade="BF"/>
    </w:rPr>
  </w:style>
  <w:style w:type="paragraph" w:styleId="Citazioneintensa">
    <w:name w:val="Intense Quote"/>
    <w:basedOn w:val="Normale"/>
    <w:next w:val="Normale"/>
    <w:link w:val="CitazioneintensaCarattere"/>
    <w:uiPriority w:val="30"/>
    <w:qFormat/>
    <w:rsid w:val="00F559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F5597C"/>
    <w:rPr>
      <w:i/>
      <w:iCs/>
      <w:color w:val="0F4761" w:themeColor="accent1" w:themeShade="BF"/>
    </w:rPr>
  </w:style>
  <w:style w:type="character" w:styleId="Riferimentointenso">
    <w:name w:val="Intense Reference"/>
    <w:basedOn w:val="Carpredefinitoparagrafo"/>
    <w:uiPriority w:val="32"/>
    <w:qFormat/>
    <w:rsid w:val="00F5597C"/>
    <w:rPr>
      <w:b/>
      <w:bCs/>
      <w:smallCaps/>
      <w:color w:val="0F4761" w:themeColor="accent1" w:themeShade="BF"/>
      <w:spacing w:val="5"/>
    </w:rPr>
  </w:style>
  <w:style w:type="paragraph" w:styleId="NormaleWeb">
    <w:name w:val="Normal (Web)"/>
    <w:basedOn w:val="Normale"/>
    <w:uiPriority w:val="99"/>
    <w:unhideWhenUsed/>
    <w:rsid w:val="009E3C4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7036143">
      <w:bodyDiv w:val="1"/>
      <w:marLeft w:val="0"/>
      <w:marRight w:val="0"/>
      <w:marTop w:val="0"/>
      <w:marBottom w:val="0"/>
      <w:divBdr>
        <w:top w:val="none" w:sz="0" w:space="0" w:color="auto"/>
        <w:left w:val="none" w:sz="0" w:space="0" w:color="auto"/>
        <w:bottom w:val="none" w:sz="0" w:space="0" w:color="auto"/>
        <w:right w:val="none" w:sz="0" w:space="0" w:color="auto"/>
      </w:divBdr>
    </w:div>
    <w:div w:id="1806699578">
      <w:bodyDiv w:val="1"/>
      <w:marLeft w:val="0"/>
      <w:marRight w:val="0"/>
      <w:marTop w:val="0"/>
      <w:marBottom w:val="0"/>
      <w:divBdr>
        <w:top w:val="none" w:sz="0" w:space="0" w:color="auto"/>
        <w:left w:val="none" w:sz="0" w:space="0" w:color="auto"/>
        <w:bottom w:val="none" w:sz="0" w:space="0" w:color="auto"/>
        <w:right w:val="none" w:sz="0" w:space="0" w:color="auto"/>
      </w:divBdr>
    </w:div>
    <w:div w:id="1985576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1146</Words>
  <Characters>6536</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Venturi Stefano</dc:creator>
  <cp:keywords/>
  <dc:description/>
  <cp:lastModifiedBy>Venturi Stefano</cp:lastModifiedBy>
  <cp:revision>2</cp:revision>
  <cp:lastPrinted>2024-12-19T09:47:00Z</cp:lastPrinted>
  <dcterms:created xsi:type="dcterms:W3CDTF">2025-09-25T07:11:00Z</dcterms:created>
  <dcterms:modified xsi:type="dcterms:W3CDTF">2025-09-25T07:11:00Z</dcterms:modified>
</cp:coreProperties>
</file>