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77777777" w:rsidR="00BC1317" w:rsidRDefault="00000000">
      <w:pPr>
        <w:spacing w:after="0" w:line="360" w:lineRule="auto"/>
        <w:jc w:val="center"/>
        <w:rPr>
          <w:rFonts w:ascii="Arial" w:eastAsia="Arial" w:hAnsi="Arial" w:cs="Arial"/>
          <w:b/>
          <w:i/>
        </w:rPr>
      </w:pPr>
      <w:r>
        <w:rPr>
          <w:rFonts w:ascii="Arial" w:eastAsia="Arial" w:hAnsi="Arial" w:cs="Arial"/>
          <w:b/>
          <w:i/>
        </w:rPr>
        <w:t>IMPEGNI PLURIENNALI E IL D.LGS. 118/2011: IL PRINCIPIO DELLA COMPETENZA FINANZIARIA POTENZIATA APPLICATA AI CONTRATTI PUBBLICI</w:t>
      </w:r>
    </w:p>
    <w:p w14:paraId="00000002" w14:textId="77777777" w:rsidR="00BC1317" w:rsidRDefault="00BC1317">
      <w:pPr>
        <w:spacing w:after="0" w:line="360" w:lineRule="auto"/>
        <w:jc w:val="both"/>
        <w:rPr>
          <w:rFonts w:ascii="Arial" w:eastAsia="Arial" w:hAnsi="Arial" w:cs="Arial"/>
          <w:b/>
        </w:rPr>
      </w:pPr>
    </w:p>
    <w:p w14:paraId="00000003" w14:textId="77777777" w:rsidR="00BC1317" w:rsidRDefault="00000000">
      <w:pPr>
        <w:spacing w:after="0" w:line="360" w:lineRule="auto"/>
        <w:jc w:val="both"/>
        <w:rPr>
          <w:rFonts w:ascii="Arial" w:eastAsia="Arial" w:hAnsi="Arial" w:cs="Arial"/>
        </w:rPr>
      </w:pPr>
      <w:r>
        <w:rPr>
          <w:rFonts w:ascii="Arial" w:eastAsia="Arial" w:hAnsi="Arial" w:cs="Arial"/>
        </w:rPr>
        <w:t xml:space="preserve">Il principio dell'annualità, sancito dall'art. 162 del </w:t>
      </w:r>
      <w:proofErr w:type="spellStart"/>
      <w:r>
        <w:rPr>
          <w:rFonts w:ascii="Arial" w:eastAsia="Arial" w:hAnsi="Arial" w:cs="Arial"/>
        </w:rPr>
        <w:t>D.Lgs.</w:t>
      </w:r>
      <w:proofErr w:type="spellEnd"/>
      <w:r>
        <w:rPr>
          <w:rFonts w:ascii="Arial" w:eastAsia="Arial" w:hAnsi="Arial" w:cs="Arial"/>
        </w:rPr>
        <w:t xml:space="preserve"> 267/2000 (TUEL) e ribadito dai principi contabili di cui al </w:t>
      </w:r>
      <w:proofErr w:type="spellStart"/>
      <w:r>
        <w:rPr>
          <w:rFonts w:ascii="Arial" w:eastAsia="Arial" w:hAnsi="Arial" w:cs="Arial"/>
        </w:rPr>
        <w:t>D.Lgs.</w:t>
      </w:r>
      <w:proofErr w:type="spellEnd"/>
      <w:r>
        <w:rPr>
          <w:rFonts w:ascii="Arial" w:eastAsia="Arial" w:hAnsi="Arial" w:cs="Arial"/>
        </w:rPr>
        <w:t xml:space="preserve"> 118/2011, impone che le previsioni del bilancio di previsione si riferiscano ad un solo esercizio finanziario. Tuttavia, l'attività amministrativa degli enti locali spesso genera obbligazioni che si estendono su più esercizi. Per gestire queste obbligazioni in modo trasparente e conforme ai principi contabili, è fondamentale distinguere tra l'autorizzazione di spesa (stanziamento) e l'impegno di spesa.</w:t>
      </w:r>
    </w:p>
    <w:p w14:paraId="00000004" w14:textId="77777777" w:rsidR="00BC1317" w:rsidRDefault="00000000">
      <w:pPr>
        <w:spacing w:after="0" w:line="360" w:lineRule="auto"/>
        <w:jc w:val="both"/>
        <w:rPr>
          <w:rFonts w:ascii="Arial" w:eastAsia="Arial" w:hAnsi="Arial" w:cs="Arial"/>
        </w:rPr>
      </w:pPr>
      <w:r>
        <w:rPr>
          <w:rFonts w:ascii="Arial" w:eastAsia="Arial" w:hAnsi="Arial" w:cs="Arial"/>
        </w:rPr>
        <w:t xml:space="preserve">L'impegno di spesa rappresenta, come noto, la fase in cui l'ente locale, a seguito di obbligazioni giuridicamente perfezionate, registra la spesa nel proprio bilancio, determinando la quantità e l'esigibilità del debito. Secondo il principio della competenza finanziaria potenziata (Allegato 4/2 al </w:t>
      </w:r>
      <w:proofErr w:type="spellStart"/>
      <w:r>
        <w:rPr>
          <w:rFonts w:ascii="Arial" w:eastAsia="Arial" w:hAnsi="Arial" w:cs="Arial"/>
        </w:rPr>
        <w:t>D.Lgs.</w:t>
      </w:r>
      <w:proofErr w:type="spellEnd"/>
      <w:r>
        <w:rPr>
          <w:rFonts w:ascii="Arial" w:eastAsia="Arial" w:hAnsi="Arial" w:cs="Arial"/>
        </w:rPr>
        <w:t xml:space="preserve"> 118/2011, punto 3.1), le spese sono imputate all'esercizio in cui l'obbligazione è esigibile.</w:t>
      </w:r>
    </w:p>
    <w:p w14:paraId="00000005" w14:textId="77777777" w:rsidR="00BC1317" w:rsidRDefault="00000000">
      <w:pPr>
        <w:spacing w:after="0" w:line="360" w:lineRule="auto"/>
        <w:jc w:val="both"/>
        <w:rPr>
          <w:rFonts w:ascii="Arial" w:eastAsia="Arial" w:hAnsi="Arial" w:cs="Arial"/>
        </w:rPr>
      </w:pPr>
      <w:r>
        <w:rPr>
          <w:rFonts w:ascii="Arial" w:eastAsia="Arial" w:hAnsi="Arial" w:cs="Arial"/>
        </w:rPr>
        <w:t xml:space="preserve">Il </w:t>
      </w:r>
      <w:proofErr w:type="spellStart"/>
      <w:r>
        <w:rPr>
          <w:rFonts w:ascii="Arial" w:eastAsia="Arial" w:hAnsi="Arial" w:cs="Arial"/>
        </w:rPr>
        <w:t>D.Lgs.</w:t>
      </w:r>
      <w:proofErr w:type="spellEnd"/>
      <w:r>
        <w:rPr>
          <w:rFonts w:ascii="Arial" w:eastAsia="Arial" w:hAnsi="Arial" w:cs="Arial"/>
        </w:rPr>
        <w:t xml:space="preserve"> 118/2011, che ha introdotto i nuovi principi contabili per gli enti territoriali, ha ridefinito il concetto di impegno di spesa, superando la logica della mera "previsione di cassa" per adottare una competenza finanziaria potenziata. Questo significa che l'impegno non è più legato esclusivamente alla disponibilità di cassa nell'anno in corso, ma appunto alla nascita di un'obbligazione giuridicamente perfezionata.</w:t>
      </w:r>
    </w:p>
    <w:p w14:paraId="00000006" w14:textId="77777777" w:rsidR="00BC1317" w:rsidRDefault="00000000">
      <w:pPr>
        <w:spacing w:after="0" w:line="360" w:lineRule="auto"/>
        <w:jc w:val="both"/>
        <w:rPr>
          <w:rFonts w:ascii="Arial" w:eastAsia="Arial" w:hAnsi="Arial" w:cs="Arial"/>
        </w:rPr>
      </w:pPr>
      <w:r>
        <w:rPr>
          <w:rFonts w:ascii="Arial" w:eastAsia="Arial" w:hAnsi="Arial" w:cs="Arial"/>
        </w:rPr>
        <w:t>Per essere concreti rappresentiamo il tutto con un esempio: il Comune Alfa intende impegnare 10.000,00 euro per il 2025, 10.000,00 euro per il 2026 e 10.000,00 euro per il 2027 ossia generando quindi un impegno di spesa pluriennale.</w:t>
      </w:r>
    </w:p>
    <w:p w14:paraId="00000007" w14:textId="77777777" w:rsidR="00BC1317" w:rsidRDefault="00000000">
      <w:pPr>
        <w:spacing w:after="0" w:line="360" w:lineRule="auto"/>
        <w:jc w:val="both"/>
        <w:rPr>
          <w:rFonts w:ascii="Arial" w:eastAsia="Arial" w:hAnsi="Arial" w:cs="Arial"/>
        </w:rPr>
      </w:pPr>
      <w:r>
        <w:rPr>
          <w:rFonts w:ascii="Arial" w:eastAsia="Arial" w:hAnsi="Arial" w:cs="Arial"/>
        </w:rPr>
        <w:t xml:space="preserve">Il principio contabile applicato della contabilità finanziaria (Allegato 4/2 al </w:t>
      </w:r>
      <w:proofErr w:type="spellStart"/>
      <w:r>
        <w:rPr>
          <w:rFonts w:ascii="Arial" w:eastAsia="Arial" w:hAnsi="Arial" w:cs="Arial"/>
        </w:rPr>
        <w:t>D.Lgs.</w:t>
      </w:r>
      <w:proofErr w:type="spellEnd"/>
      <w:r>
        <w:rPr>
          <w:rFonts w:ascii="Arial" w:eastAsia="Arial" w:hAnsi="Arial" w:cs="Arial"/>
        </w:rPr>
        <w:t xml:space="preserve"> 118/2011) al punto 5.2.2. "Impegni di spesa pluriennali" è dirimente:</w:t>
      </w:r>
    </w:p>
    <w:p w14:paraId="00000008" w14:textId="77777777" w:rsidR="00BC1317" w:rsidRDefault="00000000">
      <w:pPr>
        <w:numPr>
          <w:ilvl w:val="0"/>
          <w:numId w:val="1"/>
        </w:numPr>
        <w:spacing w:after="0" w:line="360" w:lineRule="auto"/>
        <w:jc w:val="both"/>
        <w:rPr>
          <w:rFonts w:ascii="Arial" w:eastAsia="Arial" w:hAnsi="Arial" w:cs="Arial"/>
        </w:rPr>
      </w:pPr>
      <w:r>
        <w:rPr>
          <w:rFonts w:ascii="Arial" w:eastAsia="Arial" w:hAnsi="Arial" w:cs="Arial"/>
        </w:rPr>
        <w:t>Comma 1: "</w:t>
      </w:r>
      <w:r>
        <w:rPr>
          <w:rFonts w:ascii="Arial" w:eastAsia="Arial" w:hAnsi="Arial" w:cs="Arial"/>
          <w:i/>
        </w:rPr>
        <w:t>Le obbligazioni passive sorte a seguito della stipula di contratti o in base a specifiche disposizioni normative, che prevedono pagamenti a carico di esercizi successivi a quello in cui l'obbligazione è stata perfezionata, sono registrate, alla data di perfezionamento dell'obbligazione, imputando a ciascun esercizio gli importi che nell'esercizio stesso diventano esigibili.</w:t>
      </w:r>
      <w:r>
        <w:rPr>
          <w:rFonts w:ascii="Arial" w:eastAsia="Arial" w:hAnsi="Arial" w:cs="Arial"/>
        </w:rPr>
        <w:t>"</w:t>
      </w:r>
    </w:p>
    <w:p w14:paraId="00000009" w14:textId="77777777" w:rsidR="00BC1317" w:rsidRDefault="00000000">
      <w:pPr>
        <w:numPr>
          <w:ilvl w:val="0"/>
          <w:numId w:val="1"/>
        </w:numPr>
        <w:spacing w:after="0" w:line="360" w:lineRule="auto"/>
        <w:jc w:val="both"/>
        <w:rPr>
          <w:rFonts w:ascii="Arial" w:eastAsia="Arial" w:hAnsi="Arial" w:cs="Arial"/>
        </w:rPr>
      </w:pPr>
      <w:r>
        <w:rPr>
          <w:rFonts w:ascii="Arial" w:eastAsia="Arial" w:hAnsi="Arial" w:cs="Arial"/>
        </w:rPr>
        <w:t>Comma 2: "</w:t>
      </w:r>
      <w:r>
        <w:rPr>
          <w:rFonts w:ascii="Arial" w:eastAsia="Arial" w:hAnsi="Arial" w:cs="Arial"/>
          <w:i/>
        </w:rPr>
        <w:t>Tali impegni sono registrati nel bilancio di previsione dell'esercizio in corso, e, contestualmente, nel bilancio pluriennale, come impegni pluriennali, limitatamente alle quote esigibili negli esercizi successivi</w:t>
      </w:r>
      <w:r>
        <w:rPr>
          <w:rFonts w:ascii="Arial" w:eastAsia="Arial" w:hAnsi="Arial" w:cs="Arial"/>
        </w:rPr>
        <w:t>."</w:t>
      </w:r>
    </w:p>
    <w:p w14:paraId="0000000A" w14:textId="77777777" w:rsidR="00BC1317" w:rsidRDefault="00000000">
      <w:pPr>
        <w:spacing w:after="0" w:line="360" w:lineRule="auto"/>
        <w:jc w:val="both"/>
        <w:rPr>
          <w:rFonts w:ascii="Arial" w:eastAsia="Arial" w:hAnsi="Arial" w:cs="Arial"/>
        </w:rPr>
      </w:pPr>
      <w:r>
        <w:rPr>
          <w:rFonts w:ascii="Arial" w:eastAsia="Arial" w:hAnsi="Arial" w:cs="Arial"/>
        </w:rPr>
        <w:t>Questo significa pacificamente che, se da un lato, l'obbligazione giuridica complessiva è unica ed è di 30.000,00 euro, dall’altro l'ente deve imputare a ciascun esercizio finanziario la quota di spesa che in quell'esercizio diventa esigibile.</w:t>
      </w:r>
    </w:p>
    <w:p w14:paraId="0000000B" w14:textId="77777777" w:rsidR="00BC1317" w:rsidRDefault="00000000">
      <w:pPr>
        <w:spacing w:after="0" w:line="360" w:lineRule="auto"/>
        <w:jc w:val="both"/>
        <w:rPr>
          <w:rFonts w:ascii="Arial" w:eastAsia="Arial" w:hAnsi="Arial" w:cs="Arial"/>
        </w:rPr>
      </w:pPr>
      <w:r>
        <w:rPr>
          <w:rFonts w:ascii="Arial" w:eastAsia="Arial" w:hAnsi="Arial" w:cs="Arial"/>
        </w:rPr>
        <w:t>Per il Comune Alfa, ciò si traduce nel dover:</w:t>
      </w:r>
    </w:p>
    <w:p w14:paraId="0000000C" w14:textId="77777777" w:rsidR="00BC1317" w:rsidRDefault="00000000">
      <w:pPr>
        <w:numPr>
          <w:ilvl w:val="0"/>
          <w:numId w:val="2"/>
        </w:numPr>
        <w:spacing w:after="0" w:line="360" w:lineRule="auto"/>
        <w:jc w:val="both"/>
        <w:rPr>
          <w:rFonts w:ascii="Arial" w:eastAsia="Arial" w:hAnsi="Arial" w:cs="Arial"/>
        </w:rPr>
      </w:pPr>
      <w:r>
        <w:rPr>
          <w:rFonts w:ascii="Arial" w:eastAsia="Arial" w:hAnsi="Arial" w:cs="Arial"/>
        </w:rPr>
        <w:t>Impegnare 10.000,00 euro sul bilancio 2025, poiché questa è la quota esigibile in tale anno.</w:t>
      </w:r>
    </w:p>
    <w:p w14:paraId="0000000D" w14:textId="77777777" w:rsidR="00BC1317" w:rsidRDefault="00000000">
      <w:pPr>
        <w:numPr>
          <w:ilvl w:val="0"/>
          <w:numId w:val="2"/>
        </w:numPr>
        <w:spacing w:after="0" w:line="360" w:lineRule="auto"/>
        <w:jc w:val="both"/>
        <w:rPr>
          <w:rFonts w:ascii="Arial" w:eastAsia="Arial" w:hAnsi="Arial" w:cs="Arial"/>
        </w:rPr>
      </w:pPr>
      <w:r>
        <w:rPr>
          <w:rFonts w:ascii="Arial" w:eastAsia="Arial" w:hAnsi="Arial" w:cs="Arial"/>
        </w:rPr>
        <w:lastRenderedPageBreak/>
        <w:t>Contestualmente, registrare come "impegno pluriennale" i restanti 20.000,00 euro, imputando 10.000,00 euro al bilancio 2026 e 10.000,00 euro al bilancio 2027.</w:t>
      </w:r>
    </w:p>
    <w:p w14:paraId="0000000E" w14:textId="77777777" w:rsidR="00BC1317" w:rsidRDefault="00000000">
      <w:pPr>
        <w:spacing w:after="0" w:line="360" w:lineRule="auto"/>
        <w:jc w:val="both"/>
        <w:rPr>
          <w:rFonts w:ascii="Arial" w:eastAsia="Arial" w:hAnsi="Arial" w:cs="Arial"/>
        </w:rPr>
      </w:pPr>
      <w:r>
        <w:rPr>
          <w:rFonts w:ascii="Arial" w:eastAsia="Arial" w:hAnsi="Arial" w:cs="Arial"/>
        </w:rPr>
        <w:t>Questa procedura garantisce la copertura finanziaria per l'intera durata dell'obbligazione e la corretta imputazione contabile secondo il principio della competenza finanziaria potenziata. L'impegno pluriennale vincola le risorse degli anni successivi, dando certezza alla copertura della spesa.</w:t>
      </w:r>
    </w:p>
    <w:p w14:paraId="0000000F" w14:textId="77777777" w:rsidR="00BC1317" w:rsidRDefault="00000000">
      <w:pPr>
        <w:spacing w:after="0" w:line="360" w:lineRule="auto"/>
        <w:jc w:val="both"/>
        <w:rPr>
          <w:rFonts w:ascii="Arial" w:eastAsia="Arial" w:hAnsi="Arial" w:cs="Arial"/>
        </w:rPr>
      </w:pPr>
      <w:r>
        <w:rPr>
          <w:rFonts w:ascii="Arial" w:eastAsia="Arial" w:hAnsi="Arial" w:cs="Arial"/>
        </w:rPr>
        <w:t>Non è assolutamente sufficiente che il Comune Alfa abbia lo stanziamento solo per l'anno 2025. Per poter assumere un impegno pluriennale, l'ente deve assicurare la copertura finanziaria per l'intera durata dell'obbligazione.</w:t>
      </w:r>
    </w:p>
    <w:p w14:paraId="00000010" w14:textId="77777777" w:rsidR="00BC1317" w:rsidRDefault="00000000">
      <w:pPr>
        <w:spacing w:after="0" w:line="360" w:lineRule="auto"/>
        <w:jc w:val="both"/>
        <w:rPr>
          <w:rFonts w:ascii="Arial" w:eastAsia="Arial" w:hAnsi="Arial" w:cs="Arial"/>
        </w:rPr>
      </w:pPr>
      <w:r>
        <w:rPr>
          <w:rFonts w:ascii="Arial" w:eastAsia="Arial" w:hAnsi="Arial" w:cs="Arial"/>
        </w:rPr>
        <w:t>Questo significa che, al momento dell'assunzione dell'impegno nel 2025, la determina deve dare atto della disponibilità delle risorse non solo per i 10.000,00 euro del 2025 (che devono trovare copertura in uno stanziamento adeguato nel bilancio 2025), ma anche per i successivi 10.000,00 euro del 2026 e 10.000,00 euro del 2027. La copertura per gli anni successivi deve essere garantita attraverso gli stanziamenti previsti nel bilancio di previsione pluriennale del Comune (che, ricordiamo, è un bilancio di competenza e non di cassa, ma che rappresenta l'autorizzazione di spesa per gli anni futuri).</w:t>
      </w:r>
    </w:p>
    <w:p w14:paraId="00000011" w14:textId="77777777" w:rsidR="00BC1317" w:rsidRDefault="00000000">
      <w:pPr>
        <w:spacing w:after="0" w:line="360" w:lineRule="auto"/>
        <w:jc w:val="both"/>
        <w:rPr>
          <w:rFonts w:ascii="Arial" w:eastAsia="Arial" w:hAnsi="Arial" w:cs="Arial"/>
        </w:rPr>
      </w:pPr>
      <w:r>
        <w:rPr>
          <w:rFonts w:ascii="Arial" w:eastAsia="Arial" w:hAnsi="Arial" w:cs="Arial"/>
        </w:rPr>
        <w:t>In pratica, la determina di impegno, pur essendo unica, dovrà specificare le quote imputate a ciascun esercizio e attestare la copertura finanziaria per l'intero importo complessivo (30.000,00 euro), facendo riferimento agli stanziamenti del bilancio 2025, del bilancio pluriennale 2025-2027 per l'anno 2026, e del bilancio pluriennale 2025-2027 per l'anno 2027.</w:t>
      </w:r>
    </w:p>
    <w:p w14:paraId="00000012" w14:textId="77777777" w:rsidR="00BC1317" w:rsidRDefault="00000000">
      <w:pPr>
        <w:spacing w:after="0" w:line="360" w:lineRule="auto"/>
        <w:jc w:val="both"/>
        <w:rPr>
          <w:rFonts w:ascii="Arial" w:eastAsia="Arial" w:hAnsi="Arial" w:cs="Arial"/>
        </w:rPr>
      </w:pPr>
      <w:r>
        <w:rPr>
          <w:rFonts w:ascii="Arial" w:eastAsia="Arial" w:hAnsi="Arial" w:cs="Arial"/>
        </w:rPr>
        <w:t>Nel corpo della determina, sarà essenziale motivare l'impegno pluriennale richiamando espressamente le norme e i principi contabili sopra citati.</w:t>
      </w:r>
    </w:p>
    <w:p w14:paraId="00000013" w14:textId="77777777" w:rsidR="00BC1317" w:rsidRDefault="00000000">
      <w:pPr>
        <w:spacing w:after="0" w:line="360" w:lineRule="auto"/>
        <w:jc w:val="both"/>
        <w:rPr>
          <w:rFonts w:ascii="Arial" w:eastAsia="Arial" w:hAnsi="Arial" w:cs="Arial"/>
        </w:rPr>
      </w:pPr>
      <w:r>
        <w:rPr>
          <w:rFonts w:ascii="Arial" w:eastAsia="Arial" w:hAnsi="Arial" w:cs="Arial"/>
        </w:rPr>
        <w:t xml:space="preserve">L’impegno pluriennale è uno strumento a presidio dell’equilibrio economico complessivo dell’ente e risponde a parametri di tutela della finanza pubblica che trova piena declinazione nel principio costituzionale della copertura finanziaria (art. 81 della Costituzione). Eco di questo principio si rinviene già nella nota sentenza 1 del 1966 della Corte, ove la medesima aveva chiarito che la copertura deve essere credibile, sufficientemente sicura, non arbitraria o irrazionale </w:t>
      </w:r>
    </w:p>
    <w:p w14:paraId="00000014" w14:textId="77777777" w:rsidR="00BC1317" w:rsidRDefault="00000000">
      <w:pPr>
        <w:spacing w:after="0" w:line="360" w:lineRule="auto"/>
        <w:jc w:val="both"/>
        <w:rPr>
          <w:rFonts w:ascii="Arial" w:eastAsia="Arial" w:hAnsi="Arial" w:cs="Arial"/>
        </w:rPr>
      </w:pPr>
      <w:r>
        <w:rPr>
          <w:rFonts w:ascii="Arial" w:eastAsia="Arial" w:hAnsi="Arial" w:cs="Arial"/>
        </w:rPr>
        <w:t xml:space="preserve">Anche recentemente (70/2012) la </w:t>
      </w:r>
      <w:proofErr w:type="gramStart"/>
      <w:r>
        <w:rPr>
          <w:rFonts w:ascii="Arial" w:eastAsia="Arial" w:hAnsi="Arial" w:cs="Arial"/>
        </w:rPr>
        <w:t>Corte Costituzionale</w:t>
      </w:r>
      <w:proofErr w:type="gramEnd"/>
      <w:r>
        <w:rPr>
          <w:rFonts w:ascii="Arial" w:eastAsia="Arial" w:hAnsi="Arial" w:cs="Arial"/>
        </w:rPr>
        <w:t xml:space="preserve"> ha avuto modo di sottolineare l’importanza dell’equilibrio economico finanziario di copertura finanziaria quale attuazione dell’art. 81 della Carta costituzionale. Essa ha ricordato come nell’ordinamento finanziario delle amministrazioni pubbliche i principi del pareggio e dell’equilibrio tendenziale fissati nell’art. 81, quarto comma, Costituzione si realizzano attraverso due regole, una statica e l’altra dinamica: la prima consiste nella parificazione delle previsioni di entrata e spesa; la seconda, fondata sul carattere autorizzatorio del bilancio preventivo, non consente di superare in corso di esercizio gli stanziamenti dallo stesso consentiti. La loro combinazione protegge l’equilibrio tendenziale in corso di esercizio a condizione che le pertinenti risorse correlate siano effettive e congruenti. </w:t>
      </w:r>
    </w:p>
    <w:p w14:paraId="00000015" w14:textId="77777777" w:rsidR="00BC1317" w:rsidRDefault="00000000">
      <w:pPr>
        <w:spacing w:after="0" w:line="360" w:lineRule="auto"/>
        <w:jc w:val="both"/>
        <w:rPr>
          <w:rFonts w:ascii="Arial" w:eastAsia="Arial" w:hAnsi="Arial" w:cs="Arial"/>
        </w:rPr>
      </w:pPr>
      <w:r>
        <w:rPr>
          <w:rFonts w:ascii="Arial" w:eastAsia="Arial" w:hAnsi="Arial" w:cs="Arial"/>
        </w:rPr>
        <w:t xml:space="preserve">L’equilibrio inoltre (115/2012) non deve essere legato al singolo anno finanziario </w:t>
      </w:r>
      <w:proofErr w:type="spellStart"/>
      <w:r>
        <w:rPr>
          <w:rFonts w:ascii="Arial" w:eastAsia="Arial" w:hAnsi="Arial" w:cs="Arial"/>
        </w:rPr>
        <w:t>giacchè</w:t>
      </w:r>
      <w:proofErr w:type="spellEnd"/>
      <w:r>
        <w:rPr>
          <w:rFonts w:ascii="Arial" w:eastAsia="Arial" w:hAnsi="Arial" w:cs="Arial"/>
        </w:rPr>
        <w:t xml:space="preserve"> l’equilibrio tendenziale dei bilanci pubblici non si realizza soltanto attraverso il rispetto del meccanismo </w:t>
      </w:r>
      <w:r>
        <w:rPr>
          <w:rFonts w:ascii="Arial" w:eastAsia="Arial" w:hAnsi="Arial" w:cs="Arial"/>
        </w:rPr>
        <w:lastRenderedPageBreak/>
        <w:t>autorizzatorio della spesa, il quale viene salvaguardato dal limite dello stanziamento di bilancio, ma anche mediante la preventiva quantificazione e copertura degli oneri derivanti da impegni giuridici che abbiano riflesso sugli esercizi futuri.</w:t>
      </w:r>
    </w:p>
    <w:p w14:paraId="00000016" w14:textId="77777777" w:rsidR="00BC1317" w:rsidRDefault="00000000">
      <w:pPr>
        <w:spacing w:after="0" w:line="360" w:lineRule="auto"/>
        <w:jc w:val="both"/>
        <w:rPr>
          <w:rFonts w:ascii="Arial" w:eastAsia="Arial" w:hAnsi="Arial" w:cs="Arial"/>
          <w:b/>
          <w:i/>
        </w:rPr>
      </w:pPr>
      <w:r>
        <w:rPr>
          <w:rFonts w:ascii="Arial" w:eastAsia="Arial" w:hAnsi="Arial" w:cs="Arial"/>
        </w:rPr>
        <w:t xml:space="preserve">In conclusione, per la spesa che si riflette su più anni finanziari, è obbligatorio procedere con un impegno pluriennale, imputando la relativa quota a ciascuno degli anni in cui la spesa diventerà esigibile. Ossia: </w:t>
      </w:r>
      <w:r>
        <w:rPr>
          <w:rFonts w:ascii="Arial" w:eastAsia="Arial" w:hAnsi="Arial" w:cs="Arial"/>
          <w:b/>
          <w:i/>
        </w:rPr>
        <w:t>l’impegno pluriennale deve essere assunto al momento del perfezionamento dell'obbligazione giuridica e deve trovare copertura finanziaria per tutti e gli anni nei rispettivi bilanci di previsione.</w:t>
      </w:r>
    </w:p>
    <w:p w14:paraId="00000017" w14:textId="77777777" w:rsidR="00BC1317" w:rsidRDefault="00BC1317">
      <w:pPr>
        <w:spacing w:after="0" w:line="360" w:lineRule="auto"/>
        <w:jc w:val="both"/>
        <w:rPr>
          <w:rFonts w:ascii="Arial" w:eastAsia="Arial" w:hAnsi="Arial" w:cs="Arial"/>
        </w:rPr>
      </w:pPr>
    </w:p>
    <w:p w14:paraId="00000018" w14:textId="77777777" w:rsidR="00BC1317" w:rsidRDefault="00BC1317">
      <w:pPr>
        <w:spacing w:after="0" w:line="360" w:lineRule="auto"/>
        <w:jc w:val="both"/>
        <w:rPr>
          <w:rFonts w:ascii="Arial" w:eastAsia="Arial" w:hAnsi="Arial" w:cs="Arial"/>
        </w:rPr>
      </w:pPr>
    </w:p>
    <w:p w14:paraId="00000019" w14:textId="77777777" w:rsidR="00BC1317" w:rsidRDefault="00000000">
      <w:pPr>
        <w:spacing w:after="0" w:line="360" w:lineRule="auto"/>
        <w:jc w:val="both"/>
        <w:rPr>
          <w:rFonts w:ascii="Arial" w:eastAsia="Arial" w:hAnsi="Arial" w:cs="Arial"/>
        </w:rPr>
      </w:pPr>
      <w:bookmarkStart w:id="0" w:name="_heading=h.q087nx7utij2" w:colFirst="0" w:colLast="0"/>
      <w:bookmarkEnd w:id="0"/>
      <w:r>
        <w:rPr>
          <w:rFonts w:ascii="Arial" w:eastAsia="Arial" w:hAnsi="Arial" w:cs="Arial"/>
          <w:b/>
        </w:rPr>
        <w:t>Un esempio concreto di motivazione della determina:</w:t>
      </w:r>
    </w:p>
    <w:p w14:paraId="0000001A" w14:textId="77777777" w:rsidR="00BC1317" w:rsidRDefault="00000000">
      <w:pPr>
        <w:spacing w:after="0" w:line="360" w:lineRule="auto"/>
        <w:jc w:val="both"/>
        <w:rPr>
          <w:rFonts w:ascii="Arial" w:eastAsia="Arial" w:hAnsi="Arial" w:cs="Arial"/>
          <w:i/>
        </w:rPr>
      </w:pPr>
      <w:r>
        <w:rPr>
          <w:rFonts w:ascii="Arial" w:eastAsia="Arial" w:hAnsi="Arial" w:cs="Arial"/>
        </w:rPr>
        <w:t>"</w:t>
      </w:r>
      <w:r>
        <w:rPr>
          <w:rFonts w:ascii="Arial" w:eastAsia="Arial" w:hAnsi="Arial" w:cs="Arial"/>
          <w:i/>
        </w:rPr>
        <w:t xml:space="preserve">Visto il </w:t>
      </w:r>
      <w:proofErr w:type="spellStart"/>
      <w:r>
        <w:rPr>
          <w:rFonts w:ascii="Arial" w:eastAsia="Arial" w:hAnsi="Arial" w:cs="Arial"/>
          <w:i/>
        </w:rPr>
        <w:t>D.Lgs.</w:t>
      </w:r>
      <w:proofErr w:type="spellEnd"/>
      <w:r>
        <w:rPr>
          <w:rFonts w:ascii="Arial" w:eastAsia="Arial" w:hAnsi="Arial" w:cs="Arial"/>
          <w:i/>
        </w:rPr>
        <w:t xml:space="preserve"> 118/2011 e in particolare l'Allegato 4/2 (Principio contabile applicato della contabilità finanziaria), punto 5.2.2. relativo agli impegni di spesa pluriennali, il quale stabilisce che le obbligazioni passive che prevedono pagamenti a carico di esercizi successivi sono registrate alla data di perfezionamento dell'obbligazione, imputando a ciascun esercizio gli importi che nell'esercizio stesso diventano esigibili. Conseguentemente, si provvede all'imputazione della spesa di euro …,00 sul capitolo (…)  per l'esercizio finanziario (…</w:t>
      </w:r>
      <w:proofErr w:type="gramStart"/>
      <w:r>
        <w:rPr>
          <w:rFonts w:ascii="Arial" w:eastAsia="Arial" w:hAnsi="Arial" w:cs="Arial"/>
          <w:i/>
        </w:rPr>
        <w:t>) ,</w:t>
      </w:r>
      <w:proofErr w:type="gramEnd"/>
      <w:r>
        <w:rPr>
          <w:rFonts w:ascii="Arial" w:eastAsia="Arial" w:hAnsi="Arial" w:cs="Arial"/>
          <w:i/>
        </w:rPr>
        <w:t xml:space="preserve"> e contestualmente si assume impegno pluriennale per euro …,00 sul medesimo capitolo per l'esercizio finanziario (…) e per euro …,00 per l'esercizio finanziario (…). </w:t>
      </w:r>
    </w:p>
    <w:p w14:paraId="0000001B" w14:textId="77777777" w:rsidR="00BC1317" w:rsidRDefault="00000000">
      <w:pPr>
        <w:spacing w:after="0" w:line="360" w:lineRule="auto"/>
        <w:jc w:val="both"/>
        <w:rPr>
          <w:rFonts w:ascii="Arial" w:eastAsia="Arial" w:hAnsi="Arial" w:cs="Arial"/>
          <w:i/>
        </w:rPr>
      </w:pPr>
      <w:r>
        <w:rPr>
          <w:rFonts w:ascii="Arial" w:eastAsia="Arial" w:hAnsi="Arial" w:cs="Arial"/>
          <w:i/>
        </w:rPr>
        <w:t xml:space="preserve">Si attesta la copertura finanziaria della spesa complessiva di euro …,00 sui bilanci di previsione come segue: </w:t>
      </w:r>
    </w:p>
    <w:p w14:paraId="0000001C" w14:textId="77777777" w:rsidR="00BC1317" w:rsidRDefault="00000000">
      <w:pPr>
        <w:spacing w:after="0" w:line="360" w:lineRule="auto"/>
        <w:jc w:val="both"/>
        <w:rPr>
          <w:rFonts w:ascii="Arial" w:eastAsia="Arial" w:hAnsi="Arial" w:cs="Arial"/>
          <w:i/>
        </w:rPr>
      </w:pPr>
      <w:r>
        <w:rPr>
          <w:rFonts w:ascii="Arial" w:eastAsia="Arial" w:hAnsi="Arial" w:cs="Arial"/>
          <w:i/>
        </w:rPr>
        <w:t xml:space="preserve">euro …,00 sul bilancio (…), </w:t>
      </w:r>
    </w:p>
    <w:p w14:paraId="0000001D" w14:textId="77777777" w:rsidR="00BC1317" w:rsidRDefault="00000000">
      <w:pPr>
        <w:spacing w:after="0" w:line="360" w:lineRule="auto"/>
        <w:jc w:val="both"/>
        <w:rPr>
          <w:rFonts w:ascii="Arial" w:eastAsia="Arial" w:hAnsi="Arial" w:cs="Arial"/>
          <w:i/>
        </w:rPr>
      </w:pPr>
      <w:r>
        <w:rPr>
          <w:rFonts w:ascii="Arial" w:eastAsia="Arial" w:hAnsi="Arial" w:cs="Arial"/>
          <w:i/>
        </w:rPr>
        <w:t xml:space="preserve">euro …,00 sul bilancio pluriennale (…) (annualità (…)) </w:t>
      </w:r>
    </w:p>
    <w:p w14:paraId="0000001E" w14:textId="77777777" w:rsidR="00BC1317" w:rsidRDefault="00000000">
      <w:pPr>
        <w:spacing w:after="0" w:line="360" w:lineRule="auto"/>
        <w:jc w:val="both"/>
        <w:rPr>
          <w:rFonts w:ascii="Arial" w:eastAsia="Arial" w:hAnsi="Arial" w:cs="Arial"/>
          <w:i/>
        </w:rPr>
      </w:pPr>
      <w:r>
        <w:rPr>
          <w:rFonts w:ascii="Arial" w:eastAsia="Arial" w:hAnsi="Arial" w:cs="Arial"/>
          <w:i/>
        </w:rPr>
        <w:t>euro …,00 sul bilancio pluriennale (…) (annualità (…)), con riferimento agli stanziamenti di cui al (indicare gli estremi dei capitoli/missioni/programmi)”.</w:t>
      </w:r>
    </w:p>
    <w:p w14:paraId="0000001F" w14:textId="77777777" w:rsidR="00BC1317" w:rsidRDefault="00BC1317">
      <w:pPr>
        <w:spacing w:after="0" w:line="360" w:lineRule="auto"/>
        <w:jc w:val="both"/>
        <w:rPr>
          <w:rFonts w:ascii="Arial" w:eastAsia="Arial" w:hAnsi="Arial" w:cs="Arial"/>
        </w:rPr>
      </w:pPr>
    </w:p>
    <w:p w14:paraId="00000020" w14:textId="77777777" w:rsidR="00BC1317" w:rsidRDefault="00BC1317">
      <w:pPr>
        <w:spacing w:after="0" w:line="360" w:lineRule="auto"/>
        <w:jc w:val="both"/>
        <w:rPr>
          <w:rFonts w:ascii="Arial" w:eastAsia="Arial" w:hAnsi="Arial" w:cs="Arial"/>
        </w:rPr>
      </w:pPr>
    </w:p>
    <w:p w14:paraId="00000021" w14:textId="77777777" w:rsidR="00BC1317" w:rsidRDefault="00BC1317">
      <w:pPr>
        <w:spacing w:after="0" w:line="360" w:lineRule="auto"/>
        <w:jc w:val="both"/>
        <w:rPr>
          <w:rFonts w:ascii="Arial" w:eastAsia="Arial" w:hAnsi="Arial" w:cs="Arial"/>
        </w:rPr>
      </w:pPr>
    </w:p>
    <w:p w14:paraId="00000022" w14:textId="77777777" w:rsidR="00BC1317" w:rsidRDefault="00BC1317">
      <w:pPr>
        <w:spacing w:after="0" w:line="360" w:lineRule="auto"/>
        <w:jc w:val="both"/>
        <w:rPr>
          <w:rFonts w:ascii="Arial" w:eastAsia="Arial" w:hAnsi="Arial" w:cs="Arial"/>
        </w:rPr>
      </w:pPr>
    </w:p>
    <w:p w14:paraId="00000023" w14:textId="77777777" w:rsidR="00BC1317" w:rsidRDefault="00BC1317">
      <w:pPr>
        <w:spacing w:after="0" w:line="360" w:lineRule="auto"/>
        <w:jc w:val="both"/>
        <w:rPr>
          <w:rFonts w:ascii="Arial" w:eastAsia="Arial" w:hAnsi="Arial" w:cs="Arial"/>
        </w:rPr>
      </w:pPr>
    </w:p>
    <w:p w14:paraId="00000024" w14:textId="77777777" w:rsidR="00BC1317" w:rsidRDefault="00BC1317">
      <w:pPr>
        <w:spacing w:after="0" w:line="360" w:lineRule="auto"/>
        <w:jc w:val="both"/>
        <w:rPr>
          <w:rFonts w:ascii="Arial" w:eastAsia="Arial" w:hAnsi="Arial" w:cs="Arial"/>
        </w:rPr>
      </w:pPr>
    </w:p>
    <w:sectPr w:rsidR="00BC1317">
      <w:pgSz w:w="11906" w:h="16838"/>
      <w:pgMar w:top="1417" w:right="1134" w:bottom="1134" w:left="1134"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Calibri"/>
    <w:charset w:val="00"/>
    <w:family w:val="auto"/>
    <w:pitch w:val="default"/>
    <w:embedRegular r:id="rId1" w:fontKey="{E1857D20-18D6-467C-B3C8-70A8DFE24576}"/>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embedRegular r:id="rId2" w:fontKey="{D1DA2FFD-7125-456A-BEC0-DF6B9599D31C}"/>
    <w:embedBold r:id="rId3" w:fontKey="{86BD63A9-B5F7-48FF-9D2D-118B1FE66D5E}"/>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embedRegular r:id="rId4" w:fontKey="{DE6CD815-183A-4EC4-9B6D-F1F89C11B821}"/>
    <w:embedItalic r:id="rId5" w:fontKey="{82597003-CC59-4788-9D54-980E9DAE3B8A}"/>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embedRegular r:id="rId6" w:fontKey="{4D563BD4-3BC6-4579-A7D9-093C4035EB46}"/>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1E32FD2"/>
    <w:multiLevelType w:val="multilevel"/>
    <w:tmpl w:val="83364F86"/>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 w15:restartNumberingAfterBreak="0">
    <w:nsid w:val="73195AAE"/>
    <w:multiLevelType w:val="multilevel"/>
    <w:tmpl w:val="0966FC9E"/>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16cid:durableId="1349871445">
    <w:abstractNumId w:val="0"/>
  </w:num>
  <w:num w:numId="2" w16cid:durableId="79170309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C1317"/>
    <w:rsid w:val="00985DDC"/>
    <w:rsid w:val="00BC1317"/>
    <w:rsid w:val="00C42501"/>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97BE999-5519-4E9C-8359-A31D6A311F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it" w:eastAsia="it-IT"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uiPriority w:val="9"/>
    <w:qFormat/>
    <w:pPr>
      <w:keepNext/>
      <w:keepLines/>
      <w:spacing w:before="480" w:after="120"/>
      <w:outlineLvl w:val="0"/>
    </w:pPr>
    <w:rPr>
      <w:b/>
      <w:sz w:val="48"/>
      <w:szCs w:val="48"/>
    </w:rPr>
  </w:style>
  <w:style w:type="paragraph" w:styleId="Titolo2">
    <w:name w:val="heading 2"/>
    <w:basedOn w:val="Normale"/>
    <w:next w:val="Normale"/>
    <w:uiPriority w:val="9"/>
    <w:semiHidden/>
    <w:unhideWhenUsed/>
    <w:qFormat/>
    <w:pPr>
      <w:keepNext/>
      <w:keepLines/>
      <w:spacing w:before="360" w:after="80"/>
      <w:outlineLvl w:val="1"/>
    </w:pPr>
    <w:rPr>
      <w:b/>
      <w:sz w:val="36"/>
      <w:szCs w:val="36"/>
    </w:rPr>
  </w:style>
  <w:style w:type="paragraph" w:styleId="Titolo3">
    <w:name w:val="heading 3"/>
    <w:basedOn w:val="Normale"/>
    <w:next w:val="Normale"/>
    <w:uiPriority w:val="9"/>
    <w:semiHidden/>
    <w:unhideWhenUsed/>
    <w:qFormat/>
    <w:pPr>
      <w:keepNext/>
      <w:keepLines/>
      <w:spacing w:before="280" w:after="80"/>
      <w:outlineLvl w:val="2"/>
    </w:pPr>
    <w:rPr>
      <w:b/>
      <w:sz w:val="28"/>
      <w:szCs w:val="28"/>
    </w:rPr>
  </w:style>
  <w:style w:type="paragraph" w:styleId="Titolo4">
    <w:name w:val="heading 4"/>
    <w:basedOn w:val="Normale"/>
    <w:next w:val="Normale"/>
    <w:uiPriority w:val="9"/>
    <w:semiHidden/>
    <w:unhideWhenUsed/>
    <w:qFormat/>
    <w:pPr>
      <w:keepNext/>
      <w:keepLines/>
      <w:spacing w:before="240" w:after="40"/>
      <w:outlineLvl w:val="3"/>
    </w:pPr>
    <w:rPr>
      <w:b/>
      <w:sz w:val="24"/>
      <w:szCs w:val="24"/>
    </w:rPr>
  </w:style>
  <w:style w:type="paragraph" w:styleId="Titolo5">
    <w:name w:val="heading 5"/>
    <w:basedOn w:val="Normale"/>
    <w:next w:val="Normale"/>
    <w:uiPriority w:val="9"/>
    <w:semiHidden/>
    <w:unhideWhenUsed/>
    <w:qFormat/>
    <w:pPr>
      <w:keepNext/>
      <w:keepLines/>
      <w:spacing w:before="220" w:after="40"/>
      <w:outlineLvl w:val="4"/>
    </w:pPr>
    <w:rPr>
      <w:b/>
    </w:rPr>
  </w:style>
  <w:style w:type="paragraph" w:styleId="Titolo6">
    <w:name w:val="heading 6"/>
    <w:basedOn w:val="Normale"/>
    <w:next w:val="Normale"/>
    <w:uiPriority w:val="9"/>
    <w:semiHidden/>
    <w:unhideWhenUsed/>
    <w:qFormat/>
    <w:pPr>
      <w:keepNext/>
      <w:keepLines/>
      <w:spacing w:before="200" w:after="40"/>
      <w:outlineLvl w:val="5"/>
    </w:pPr>
    <w:rPr>
      <w:b/>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itolo">
    <w:name w:val="Title"/>
    <w:basedOn w:val="Normale"/>
    <w:next w:val="Normale"/>
    <w:uiPriority w:val="10"/>
    <w:qFormat/>
    <w:pPr>
      <w:keepNext/>
      <w:keepLines/>
      <w:spacing w:before="480" w:after="120"/>
    </w:pPr>
    <w:rPr>
      <w:b/>
      <w:sz w:val="72"/>
      <w:szCs w:val="72"/>
    </w:rPr>
  </w:style>
  <w:style w:type="paragraph" w:styleId="Sottotitolo">
    <w:name w:val="Subtitle"/>
    <w:basedOn w:val="Normale"/>
    <w:next w:val="Normale"/>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wBN0PFD422Q9HbYtA9i6C9EKtDQ==">CgMxLjAyDmgucTA4N254N3V0aWoyOAByITFPNDRjd1IyaWdVRlhZeXROakdONjR1cS1PRFkwbkVvUA==</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1196</Words>
  <Characters>6819</Characters>
  <Application>Microsoft Office Word</Application>
  <DocSecurity>0</DocSecurity>
  <Lines>56</Lines>
  <Paragraphs>15</Paragraphs>
  <ScaleCrop>false</ScaleCrop>
  <Company/>
  <LinksUpToDate>false</LinksUpToDate>
  <CharactersWithSpaces>8000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sefano venturi</dc:creator>
  <cp:lastModifiedBy>Venturi Stefano</cp:lastModifiedBy>
  <cp:revision>2</cp:revision>
  <dcterms:created xsi:type="dcterms:W3CDTF">2025-09-25T07:09:00Z</dcterms:created>
  <dcterms:modified xsi:type="dcterms:W3CDTF">2025-09-25T07:09:00Z</dcterms:modified>
</cp:coreProperties>
</file>